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ОТЧЁТ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30"/>
          <w:szCs w:val="30"/>
        </w:rPr>
        <w:t xml:space="preserve">по результатам ИК-спектроскопического анализа</w:t>
      </w:r>
    </w:p>
    <w:p>
      <w:pPr>
        <w:spacing w:after="500"/>
        <w:jc w:val="center"/>
      </w:pPr>
      <w:r>
        <w:rPr>
          <w:rFonts w:ascii="Calibri" w:cs="Calibri" w:eastAsia="Calibri" w:hAnsi="Calibri"/>
          <w:sz w:val="30"/>
          <w:szCs w:val="30"/>
        </w:rPr>
        <w:t xml:space="preserve">образца buryak_shmurdyak_black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Объект</w:t>
            </w:r>
          </w:p>
        </w:tc>
        <w:tc>
          <w:tcPr>
            <w:tcW w:type="dxa" w:w="6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Образец buryak_shmurdyak_black (паста чёрного цвета)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Метод</w:t>
            </w:r>
          </w:p>
        </w:tc>
        <w:tc>
          <w:tcPr>
            <w:tcW w:type="dxa" w:w="6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ИК-Фурье спектроскопия, НПВО (алмазный кристалл)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Дата регистрации спектра</w:t>
            </w:r>
          </w:p>
        </w:tc>
        <w:tc>
          <w:tcPr>
            <w:tcW w:type="dxa" w:w="6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30.09.2026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Дата отчёта</w:t>
            </w:r>
          </w:p>
        </w:tc>
        <w:tc>
          <w:tcPr>
            <w:tcW w:type="dxa" w:w="6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30.10.2026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6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Определить органическую основу, добавки и неорганический компонент; сравнить с ранее исследованными тиоколами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ЯМР</w:t>
            </w:r>
          </w:p>
        </w:tc>
        <w:tc>
          <w:tcPr>
            <w:tcW w:type="dxa" w:w="6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 проводился на момент отчёта; результаты будут добавлены отдельно</w:t>
            </w:r>
          </w:p>
        </w:tc>
      </w:tr>
    </w:tbl>
    <w:p>
      <w:pPr>
        <w:pStyle w:val="Heading1"/>
        <w:keepNext/>
        <w:pageBreakBefore/>
      </w:pPr>
      <w:r>
        <w:t xml:space="preserve">1. Краткие результаты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Образец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не содержит тиокола</w:t>
      </w:r>
      <w:r>
        <w:rPr>
          <w:rFonts w:ascii="Calibri" w:cs="Calibri" w:eastAsia="Calibri" w:hAnsi="Calibri"/>
          <w:sz w:val="22"/>
          <w:szCs w:val="22"/>
        </w:rPr>
        <w:t xml:space="preserve">: в спектре нет ни формальных полос (1024, 949 см⁻¹), ни полос S–CH₂ (1410 см⁻¹), ни полосы концевых SH-групп (2560 см⁻¹). Органическая часть образца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практически чистый дибутилфталат (ДБФ)</w:t>
      </w:r>
      <w:r>
        <w:rPr>
          <w:rFonts w:ascii="Calibri" w:cs="Calibri" w:eastAsia="Calibri" w:hAnsi="Calibri"/>
          <w:sz w:val="22"/>
          <w:szCs w:val="22"/>
        </w:rPr>
        <w:t xml:space="preserve">. Кроме него присутствует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чёрный неорганический компонент</w:t>
      </w:r>
      <w:r>
        <w:rPr>
          <w:rFonts w:ascii="Calibri" w:cs="Calibri" w:eastAsia="Calibri" w:hAnsi="Calibri"/>
          <w:sz w:val="22"/>
          <w:szCs w:val="22"/>
        </w:rPr>
        <w:t xml:space="preserve"> с поглощением металл–кислород ниже 650 см⁻¹ — предположительно диоксид марганца MnO₂.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По составу образец соответствует типичной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вулканизующей (отверждающей) пасте для тиоколовых герметиков</w:t>
      </w:r>
      <w:r>
        <w:rPr>
          <w:rFonts w:ascii="Calibri" w:cs="Calibri" w:eastAsia="Calibri" w:hAnsi="Calibri"/>
          <w:sz w:val="22"/>
          <w:szCs w:val="22"/>
        </w:rPr>
        <w:t xml:space="preserve"> — суспензии диоксида марганца в дибутилфталате (тип пасты №9). Это второй компонент к тиоколовой основе, а не сама основа.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638"/>
      </w:tblGrid>
      <w:tr>
        <w:trPr>
          <w:tblHeader/>
        </w:trP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Результат ИК</w:t>
            </w:r>
          </w:p>
        </w:tc>
        <w:tc>
          <w:tcPr>
            <w:tcW w:type="dxa" w:w="4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Дибутилфталат (ДБФ)</w:t>
            </w:r>
          </w:p>
        </w:tc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основной органический компонент, ≈95–100 % органической части</w:t>
            </w:r>
          </w:p>
        </w:tc>
        <w:tc>
          <w:tcPr>
            <w:tcW w:type="dxa" w:w="4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Полный набор полос фталата: 1723, 1600/1580, 1277, 1119, 1072, 742 см⁻¹; н-бутильные полосы 2960, 1384, 962/941 см⁻¹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Неорганический компонент</w:t>
            </w:r>
          </w:p>
        </w:tc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присутствует, количество не определяется</w:t>
            </w:r>
          </w:p>
        </w:tc>
        <w:tc>
          <w:tcPr>
            <w:tcW w:type="dxa" w:w="4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Рост поглощения ниже 650 см⁻¹ (колебания M–O), чёрный цвет — предположительно MnO₂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Тиокол</w:t>
            </w:r>
          </w:p>
        </w:tc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 обнаружен (&lt; ≈5 %)</w:t>
            </w:r>
          </w:p>
        </w:tc>
        <w:tc>
          <w:tcPr>
            <w:tcW w:type="dxa" w:w="4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Нет полос 1024, 1410, 2560 см⁻¹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Эпоксидная смола</w:t>
            </w:r>
          </w:p>
        </w:tc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 обнаружена</w:t>
            </w:r>
          </w:p>
        </w:tc>
        <w:tc>
          <w:tcPr>
            <w:tcW w:type="dxa" w:w="4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Нет полос 1510, 1244, 831 см⁻¹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Хлорпарафин</w:t>
            </w:r>
          </w:p>
        </w:tc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 обнаружен</w:t>
            </w:r>
          </w:p>
        </w:tc>
        <w:tc>
          <w:tcPr>
            <w:tcW w:type="dxa" w:w="4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Нет отдельной полосы CHCl 1260–1270 см⁻¹ и прироста CH₂; окончательно — по ЯМР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Полиуретан, лапрол</w:t>
            </w:r>
          </w:p>
        </w:tc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 обнаружены</w:t>
            </w:r>
          </w:p>
        </w:tc>
        <w:tc>
          <w:tcPr>
            <w:tcW w:type="dxa" w:w="4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Нет полос N–H и широкой полосы простого эфира</w:t>
            </w:r>
          </w:p>
        </w:tc>
      </w:tr>
    </w:tbl>
    <w:p>
      <w:pPr>
        <w:pStyle w:val="Heading1"/>
        <w:keepNext/>
      </w:pPr>
      <w:r>
        <w:t xml:space="preserve">2. Методика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Спектр зарегистрирован методом НПВО (алмазный кристалл), 4000–550 см⁻¹, шаг 1 см⁻¹. Область ниже 560 см⁻¹ в анализе не использовалась (край пропускания).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Обработка та же, что и для образцов buryak_1t, 2t, 1p, 2x: перевод в оптическую плотность A = −lg(T/T₀) с T₀ в области 2000–2600 см⁻¹, поиск пиков после сглаживания Савицкого–Голея, вторая производная для разрешения перекрывающихся полос.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Для проверки на тиокол спектр сопоставлен со спектром чистого тиокола buryak_1t из предыдущей серии.</w:t>
      </w:r>
    </w:p>
    <w:p>
      <w:pPr>
        <w:pStyle w:val="Heading1"/>
        <w:keepNext/>
      </w:pPr>
      <w:r>
        <w:t xml:space="preserve">3. ИК-спектр и его расшифровка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819400"/>
            <wp:effectExtent t="0" r="0" b="0" l="0"/>
            <wp:docPr id="1" name="spectrum_black.png" descr="spectrum_black.png" title="spectrum_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Рисунок 1. ИК-спектр (НПВО) образца buryak_shmurdyak_black с разметкой областей функциональных групп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Расшифровка: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Сложный эфир ароматической кислоты.</w:t>
      </w:r>
      <w:r>
        <w:rPr>
          <w:rFonts w:ascii="Calibri" w:cs="Calibri" w:eastAsia="Calibri" w:hAnsi="Calibri"/>
          <w:sz w:val="22"/>
          <w:szCs w:val="22"/>
        </w:rPr>
        <w:t xml:space="preserve"> Сильная полоса C=O при 1723 см⁻¹ вместе с полосами 1277 см⁻¹ (C(=O)–O) и 1119/1072 см⁻¹ (O–C–C) — классическая «тройка» полос эфиров фталевой кислоты.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Орто-замещённое бензольное кольцо.</w:t>
      </w:r>
      <w:r>
        <w:rPr>
          <w:rFonts w:ascii="Calibri" w:cs="Calibri" w:eastAsia="Calibri" w:hAnsi="Calibri"/>
          <w:sz w:val="22"/>
          <w:szCs w:val="22"/>
        </w:rPr>
        <w:t xml:space="preserve"> Дублет 1600/1580 см⁻¹ равной интенсивности и сильная полоса 742 см⁻¹ — однозначные признаки фталата.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Бутильные группы.</w:t>
      </w:r>
      <w:r>
        <w:rPr>
          <w:rFonts w:ascii="Calibri" w:cs="Calibri" w:eastAsia="Calibri" w:hAnsi="Calibri"/>
          <w:sz w:val="22"/>
          <w:szCs w:val="22"/>
        </w:rPr>
        <w:t xml:space="preserve"> Самая сильная полоса C–H при 2960 см⁻¹ (CH₃), полосы 2935/2874, 1384 см⁻¹ и пара 962/941 см⁻¹ указывают на н-бутильные радикалы. Признаков длинных алкильных цепей (как у диоктилфталата: сильная полоса 2858 см⁻¹) нет. Вывод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дибутилфталат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Неорганический компонент.</w:t>
      </w:r>
      <w:r>
        <w:rPr>
          <w:rFonts w:ascii="Calibri" w:cs="Calibri" w:eastAsia="Calibri" w:hAnsi="Calibri"/>
          <w:sz w:val="22"/>
          <w:szCs w:val="22"/>
        </w:rPr>
        <w:t xml:space="preserve"> Поглощение монотонно растёт ниже 650 см⁻¹ (колебания металл–кислород); вместе с чёрным цветом образца это указывает на оксид металла, предположительно MnO₂ — стандартный отвердитель тиоколов. Слабая широкая полоса около 3440 см⁻¹ — вода или гидроксильные группы на поверхности оксида.</w:t>
      </w:r>
    </w:p>
    <w:p>
      <w:pPr>
        <w:keepNext/>
        <w:pageBreakBefore/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1. Пики образца buryak_shmurdyak_black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7038"/>
      </w:tblGrid>
      <w:tr>
        <w:trPr>
          <w:tblHeader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ν, см⁻¹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Отнесение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650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0.172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деформационное колебание кольца фталата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704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0.187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деформационное колебание кольца фталата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739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0.216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δ C–H 1,2-замещённого (орто) бензольного кольца — маркер фталатов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842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0.070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колебание кольца фталата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941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0.132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колебание н-бутильной группы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962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0.122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колебание н-бутильной группы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1039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0.182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колебание кольца / C–O (н-бутил)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1072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0.346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O–C–C / колебание кольца фталата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1119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0.308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O–C–C сложного эфира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1277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0.387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νₐₛ C(=O)–O фталата — самая сильная полоса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1356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0.031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ω CH₂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1384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0.062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δₛ CH₃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1465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0.074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δ CH₂ / δₐₛ CH₃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1488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0.035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колебание бензольного кольца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1580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0.051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C=C бензольного кольца (дублет фталата)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1600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0.050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C=C бензольного кольца (дублет фталата)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1723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0.382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C=O сложного эфира ароматической кислоты (фталат)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2874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0.052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νₛ CH₃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2935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0.067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νₐₛ CH₂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2960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0.100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νₐₛ CH₃ (бутильная группа)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3442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0.014</w:t>
            </w:r>
          </w:p>
        </w:tc>
        <w:tc>
          <w:tcPr>
            <w:tcW w:type="dxa" w:w="7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ν O–H (влага / гидратированный оксид)</w:t>
            </w:r>
          </w:p>
        </w:tc>
      </w:tr>
    </w:tbl>
    <w:p>
      <w:pPr>
        <w:pStyle w:val="Heading1"/>
        <w:keepNext/>
        <w:pageBreakBefore/>
      </w:pPr>
      <w:r>
        <w:t xml:space="preserve">4. Сравнение с тиоколом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819400"/>
            <wp:effectExtent t="0" r="0" b="0" l="0"/>
            <wp:docPr id="2" name="overlay_black_vs_1t.png" descr="overlay_black_vs_1t.png" title="overlay_black_vs_1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Рисунок 2. Наложение спектров образца и чистого тиокола buryak_1t (оптическая плотность)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Расшифровка.</w:t>
      </w:r>
      <w:r>
        <w:rPr>
          <w:rFonts w:ascii="Calibri" w:cs="Calibri" w:eastAsia="Calibri" w:hAnsi="Calibri"/>
          <w:sz w:val="22"/>
          <w:szCs w:val="22"/>
        </w:rPr>
        <w:t xml:space="preserve"> Спектры принципиально различаются. Самая сильная полоса тиокола 1024 см⁻¹ в образце отсутствует; на её месте — слабый склон полос фталата. Совпадающих по форме и положению полос нет.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38550"/>
            <wp:effectExtent t="0" r="0" b="0" l="0"/>
            <wp:docPr id="3" name="zoom_black.png" descr="zoom_black.png" title="zoom_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Рисунок 3. Увеличенные диагностические области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Расшифровка по панелям: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1800–1550 см⁻¹.</w:t>
      </w:r>
      <w:r>
        <w:rPr>
          <w:rFonts w:ascii="Calibri" w:cs="Calibri" w:eastAsia="Calibri" w:hAnsi="Calibri"/>
          <w:sz w:val="22"/>
          <w:szCs w:val="22"/>
        </w:rPr>
        <w:t xml:space="preserve"> У образца — сильная C=O 1723 см⁻¹ и дублет 1600/1580 см⁻¹ (фталат); у тиокола в этой области полос нет.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1320–1000 см⁻¹.</w:t>
      </w:r>
      <w:r>
        <w:rPr>
          <w:rFonts w:ascii="Calibri" w:cs="Calibri" w:eastAsia="Calibri" w:hAnsi="Calibri"/>
          <w:sz w:val="22"/>
          <w:szCs w:val="22"/>
        </w:rPr>
        <w:t xml:space="preserve"> Набор фталата (1277, 1119, 1072, 1039 см⁻¹) вместо набора формали тиокола (1110, 1069, 1024 см⁻¹). Полосы 1024 см⁻¹ нет — тиокола в образце менее ≈5 %.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1000–560 см⁻¹.</w:t>
      </w:r>
      <w:r>
        <w:rPr>
          <w:rFonts w:ascii="Calibri" w:cs="Calibri" w:eastAsia="Calibri" w:hAnsi="Calibri"/>
          <w:sz w:val="22"/>
          <w:szCs w:val="22"/>
        </w:rPr>
        <w:t xml:space="preserve"> Полосы н-бутила 962/941 и орто-замещённого кольца 742 см⁻¹; ниже 650 см⁻¹ — рост поглощения неорганического компонента.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2640–2500 см⁻¹.</w:t>
      </w:r>
      <w:r>
        <w:rPr>
          <w:rFonts w:ascii="Calibri" w:cs="Calibri" w:eastAsia="Calibri" w:hAnsi="Calibri"/>
          <w:sz w:val="22"/>
          <w:szCs w:val="22"/>
        </w:rPr>
        <w:t xml:space="preserve"> У тиокола видна полоса SH-групп около 2560 см⁻¹, у образца её нет.</w:t>
      </w:r>
    </w:p>
    <w:p>
      <w:pPr>
        <w:pStyle w:val="Heading1"/>
        <w:keepNext/>
        <w:pageBreakBefore/>
      </w:pPr>
      <w:r>
        <w:t xml:space="preserve">5. Состав органической части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Пересчёт на 100 % органической части. Неорганический компонент в расчёт не входит.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1300"/>
        <w:gridCol w:w="1300"/>
        <w:gridCol w:w="2638"/>
      </w:tblGrid>
      <w:tr>
        <w:trPr>
          <w:tblHeader/>
        </w:trPr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ИК, %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ЯМР, %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Итог, %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Дибутилфталат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≈95–100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ожидается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≈95–100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Единственный обнаруженный органический компонент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Прочие органические добавки (стеариновая кислота и др.)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 обнаружены (&lt; 2–3 %)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ожидается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 3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 типовых пастах около 1 % стеариновой кислоты — ниже предела обнаружения ИК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Тиокол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 обнаружен (&lt; 5 %)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ожидается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 5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</w:p>
        </w:tc>
      </w:tr>
      <w:tr>
        <w:trPr>
          <w:cantSplit/>
        </w:trPr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1F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Неорганический компонент (MnO₂?)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присутствует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вне 100 %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Количество — по зольности; природу металла — РФА</w:t>
            </w:r>
          </w:p>
        </w:tc>
      </w:tr>
    </w:tbl>
    <w:p>
      <w:pPr>
        <w:pStyle w:val="Heading1"/>
        <w:keepNext/>
      </w:pPr>
      <w:r>
        <w:t xml:space="preserve">6. Выводы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Образец buryak_shmurdyak_black не является тиоколом: полос полисульфидного олигомера и SH-групп нет.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Органическая часть — практически чистый дибутилфталат (≈95–100 %).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Присутствует чёрный неорганический компонент — предположительно диоксид марганца.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По составу образец соответствует вулканизующей пасте для тиоколовых герметиков (MnO₂ в ДБФ, тип пасты №9).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Эпоксидная смола, хлорпарафины, полиуретаны и лапролы не обнаружены.</w:t>
      </w:r>
    </w:p>
    <w:p>
      <w:pPr>
        <w:pStyle w:val="Heading1"/>
        <w:keepNext/>
      </w:pPr>
      <w:r>
        <w:t xml:space="preserve">7. Рекомендации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58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Подтвердить ДБФ, отличить от диизобутилфталата, проверить отсутствие хлорпарафина</w:t>
            </w:r>
          </w:p>
        </w:tc>
        <w:tc>
          <w:tcPr>
            <w:tcW w:type="dxa" w:w="58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ЯМР ¹H: ДБФ — 7,7/7,5 м.д. (аром.), 4,30 (т, OCH₂), 1,72, 1,45, 0,97 (т) м.д.; диизобутилфталат — 4,08 (д), 0,99 (д); хлорпарафин — широкие сигналы CHCl 3,8–4,5 м.д.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Определить металл неорганического компонента</w:t>
            </w:r>
          </w:p>
        </w:tc>
        <w:tc>
          <w:tcPr>
            <w:tcW w:type="dxa" w:w="58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РФА (ожидается Mn)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Соотношение паста : ДБФ</w:t>
            </w:r>
          </w:p>
        </w:tc>
        <w:tc>
          <w:tcPr>
            <w:tcW w:type="dxa" w:w="58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Зольность (прокаливание): остаток ≈ доля неорганики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Следы стеариновой кислоты и других добавок</w:t>
            </w:r>
          </w:p>
        </w:tc>
        <w:tc>
          <w:tcPr>
            <w:tcW w:type="dxa" w:w="58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7F7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ЯМР ¹H (сигналы 2,35 и 1,25 м.д.) или ГХ-МС экстракта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9752b50170e2f57d6b8a1360ed83cf8eaf31bd7.png"/><Relationship Id="rId9" Type="http://schemas.openxmlformats.org/officeDocument/2006/relationships/image" Target="media/b0bcec23b69a056595e743647f00f5ee1a3d2353.png"/><Relationship Id="rId10" Type="http://schemas.openxmlformats.org/officeDocument/2006/relationships/image" Target="media/ba1ec1c2e28ab940999eeac232a027f9f92242e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2026-10-30T18:22:42.769Z</dcterms:created>
  <dcterms:modified xsi:type="dcterms:W3CDTF">2026-10-30T18:22:42.769Z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