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EB5CEB" w14:textId="230FEF62" w:rsidR="00833B10" w:rsidRPr="00833B10" w:rsidRDefault="00833B10" w:rsidP="00833B10">
      <w:pPr>
        <w:jc w:val="center"/>
        <w:rPr>
          <w:b/>
          <w:bCs/>
          <w:sz w:val="36"/>
          <w:szCs w:val="36"/>
          <w:u w:val="single"/>
        </w:rPr>
      </w:pPr>
      <w:r w:rsidRPr="00833B10">
        <w:rPr>
          <w:b/>
          <w:bCs/>
          <w:sz w:val="36"/>
          <w:szCs w:val="36"/>
          <w:u w:val="single"/>
        </w:rPr>
        <w:t>INTERPRETACIONES TP</w:t>
      </w:r>
    </w:p>
    <w:p w14:paraId="0A892952" w14:textId="355F3BC6" w:rsidR="00250792" w:rsidRPr="00250792" w:rsidRDefault="00250792" w:rsidP="00250792">
      <w:pPr>
        <w:rPr>
          <w:b/>
          <w:bCs/>
          <w:sz w:val="36"/>
          <w:szCs w:val="36"/>
          <w:u w:val="single"/>
        </w:rPr>
      </w:pPr>
      <w:r w:rsidRPr="00116559">
        <w:rPr>
          <w:b/>
          <w:bCs/>
          <w:sz w:val="32"/>
          <w:szCs w:val="32"/>
          <w:highlight w:val="cyan"/>
          <w:u w:val="single"/>
        </w:rPr>
        <w:t>Punto 1</w:t>
      </w:r>
    </w:p>
    <w:p w14:paraId="209C25AE" w14:textId="50FD430D" w:rsidR="00250792" w:rsidRPr="00250792" w:rsidRDefault="00250792" w:rsidP="00250792">
      <w:r w:rsidRPr="00250792">
        <w:rPr>
          <w:b/>
          <w:bCs/>
          <w:highlight w:val="yellow"/>
        </w:rPr>
        <w:t>Interpretación Histograma</w:t>
      </w:r>
    </w:p>
    <w:p w14:paraId="215E54E9" w14:textId="77777777" w:rsidR="00250792" w:rsidRPr="00250792" w:rsidRDefault="00250792" w:rsidP="00250792">
      <w:r w:rsidRPr="00250792">
        <w:t xml:space="preserve">El histograma representa la </w:t>
      </w:r>
      <w:r w:rsidRPr="00250792">
        <w:rPr>
          <w:b/>
          <w:bCs/>
        </w:rPr>
        <w:t>distribución de los salarios semanales</w:t>
      </w:r>
      <w:r w:rsidRPr="00250792">
        <w:t xml:space="preserve"> en la muestra de datos. Cada barra muestra la </w:t>
      </w:r>
      <w:r w:rsidRPr="00250792">
        <w:rPr>
          <w:b/>
          <w:bCs/>
        </w:rPr>
        <w:t>frecuencia</w:t>
      </w:r>
      <w:r w:rsidRPr="00250792">
        <w:t xml:space="preserve"> de un rango de valores de salario, permitiendo visualizar cómo están distribuidos los ingresos de los trabajadores.</w:t>
      </w:r>
    </w:p>
    <w:p w14:paraId="3AEC3A2C" w14:textId="77777777" w:rsidR="00250792" w:rsidRPr="00250792" w:rsidRDefault="00250792" w:rsidP="00250792">
      <w:r w:rsidRPr="00250792">
        <w:rPr>
          <w:rFonts w:ascii="Segoe UI Emoji" w:hAnsi="Segoe UI Emoji" w:cs="Segoe UI Emoji"/>
        </w:rPr>
        <w:t>🔹</w:t>
      </w:r>
      <w:r w:rsidRPr="00250792">
        <w:t xml:space="preserve"> </w:t>
      </w:r>
      <w:r w:rsidRPr="00250792">
        <w:rPr>
          <w:b/>
          <w:bCs/>
        </w:rPr>
        <w:t>Aspectos clave:</w:t>
      </w:r>
    </w:p>
    <w:p w14:paraId="1380876C" w14:textId="77777777" w:rsidR="00250792" w:rsidRPr="00250792" w:rsidRDefault="00250792" w:rsidP="00250792">
      <w:pPr>
        <w:numPr>
          <w:ilvl w:val="0"/>
          <w:numId w:val="9"/>
        </w:numPr>
      </w:pPr>
      <w:r w:rsidRPr="00250792">
        <w:rPr>
          <w:b/>
          <w:bCs/>
        </w:rPr>
        <w:t>Alta concentración de valores bajos:</w:t>
      </w:r>
      <w:r w:rsidRPr="00250792">
        <w:t xml:space="preserve"> Se observa que la mayoría de los trabajadores tienen salarios bajos, lo que sugiere que los ingresos en la región no están distribuidos equitativamente.</w:t>
      </w:r>
    </w:p>
    <w:p w14:paraId="44D8011E" w14:textId="77777777" w:rsidR="00250792" w:rsidRPr="00250792" w:rsidRDefault="00250792" w:rsidP="00250792">
      <w:pPr>
        <w:numPr>
          <w:ilvl w:val="0"/>
          <w:numId w:val="9"/>
        </w:numPr>
      </w:pPr>
      <w:r w:rsidRPr="00250792">
        <w:rPr>
          <w:b/>
          <w:bCs/>
        </w:rPr>
        <w:t>Sesgo a la derecha:</w:t>
      </w:r>
      <w:r w:rsidRPr="00250792">
        <w:t xml:space="preserve"> La distribución presenta una </w:t>
      </w:r>
      <w:r w:rsidRPr="00250792">
        <w:rPr>
          <w:b/>
          <w:bCs/>
        </w:rPr>
        <w:t>cola larga hacia la derecha</w:t>
      </w:r>
      <w:r w:rsidRPr="00250792">
        <w:t>, lo que significa que hay una pequeña cantidad de individuos con salarios significativamente altos.</w:t>
      </w:r>
    </w:p>
    <w:p w14:paraId="2DAFAF4C" w14:textId="77777777" w:rsidR="00250792" w:rsidRPr="00250792" w:rsidRDefault="00250792" w:rsidP="00250792">
      <w:pPr>
        <w:numPr>
          <w:ilvl w:val="0"/>
          <w:numId w:val="9"/>
        </w:numPr>
      </w:pPr>
      <w:r w:rsidRPr="00250792">
        <w:rPr>
          <w:b/>
          <w:bCs/>
        </w:rPr>
        <w:t>Posibles valores extremos:</w:t>
      </w:r>
      <w:r w:rsidRPr="00250792">
        <w:t xml:space="preserve"> Si hay barras alejadas del resto, estos podrían ser </w:t>
      </w:r>
      <w:r w:rsidRPr="00250792">
        <w:rPr>
          <w:b/>
          <w:bCs/>
        </w:rPr>
        <w:t>casos atípicos</w:t>
      </w:r>
      <w:r w:rsidRPr="00250792">
        <w:t xml:space="preserve"> o trabajadores con ingresos fuera de lo común.</w:t>
      </w:r>
    </w:p>
    <w:p w14:paraId="46896E6F" w14:textId="77777777" w:rsidR="00250792" w:rsidRDefault="00250792" w:rsidP="00250792">
      <w:pPr>
        <w:rPr>
          <w:noProof/>
        </w:rPr>
      </w:pPr>
      <w:r w:rsidRPr="00250792">
        <w:rPr>
          <w:rFonts w:ascii="Segoe UI Emoji" w:hAnsi="Segoe UI Emoji" w:cs="Segoe UI Emoji"/>
        </w:rPr>
        <w:t>📌</w:t>
      </w:r>
      <w:r w:rsidRPr="00250792">
        <w:t xml:space="preserve"> </w:t>
      </w:r>
      <w:r w:rsidRPr="00250792">
        <w:rPr>
          <w:b/>
          <w:bCs/>
        </w:rPr>
        <w:t>Conclusión:</w:t>
      </w:r>
      <w:r w:rsidRPr="00250792">
        <w:br/>
        <w:t xml:space="preserve">Este histograma refleja una distribución típica de los salarios en economías con alta disparidad de ingresos. La mayoría de los trabajadores tienen </w:t>
      </w:r>
      <w:r w:rsidRPr="00250792">
        <w:rPr>
          <w:b/>
          <w:bCs/>
        </w:rPr>
        <w:t>salarios bajos</w:t>
      </w:r>
      <w:r w:rsidRPr="00250792">
        <w:t>, mientras que unos pocos cuentan con ingresos elevados, generando una distribución sesgada.</w:t>
      </w:r>
      <w:r w:rsidRPr="00250792">
        <w:rPr>
          <w:noProof/>
        </w:rPr>
        <w:t xml:space="preserve"> </w:t>
      </w:r>
    </w:p>
    <w:p w14:paraId="7B78B1DC" w14:textId="45C58B9A" w:rsidR="00250792" w:rsidRDefault="00250792" w:rsidP="00250792">
      <w:pPr>
        <w:rPr>
          <w:noProof/>
        </w:rPr>
      </w:pPr>
      <w:r>
        <w:rPr>
          <w:noProof/>
        </w:rPr>
        <w:drawing>
          <wp:inline distT="0" distB="0" distL="0" distR="0" wp14:anchorId="6574ACA9" wp14:editId="714FAE29">
            <wp:extent cx="4304581" cy="3359686"/>
            <wp:effectExtent l="0" t="0" r="1270" b="0"/>
            <wp:docPr id="1166875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1352" cy="3364971"/>
                    </a:xfrm>
                    <a:prstGeom prst="rect">
                      <a:avLst/>
                    </a:prstGeom>
                    <a:noFill/>
                    <a:ln>
                      <a:noFill/>
                    </a:ln>
                  </pic:spPr>
                </pic:pic>
              </a:graphicData>
            </a:graphic>
          </wp:inline>
        </w:drawing>
      </w:r>
    </w:p>
    <w:p w14:paraId="47E4B074" w14:textId="0A8BC5A5" w:rsidR="00250792" w:rsidRDefault="00250792" w:rsidP="00250792"/>
    <w:p w14:paraId="0E1732A9" w14:textId="77777777" w:rsidR="00250792" w:rsidRPr="00250792" w:rsidRDefault="00250792" w:rsidP="00250792">
      <w:r w:rsidRPr="00250792">
        <w:rPr>
          <w:b/>
          <w:bCs/>
          <w:highlight w:val="yellow"/>
        </w:rPr>
        <w:t xml:space="preserve">Interpretación Distribución de </w:t>
      </w:r>
      <w:proofErr w:type="spellStart"/>
      <w:r w:rsidRPr="00250792">
        <w:rPr>
          <w:b/>
          <w:bCs/>
          <w:highlight w:val="yellow"/>
        </w:rPr>
        <w:t>Kernel</w:t>
      </w:r>
      <w:proofErr w:type="spellEnd"/>
    </w:p>
    <w:p w14:paraId="2AFF458D" w14:textId="77777777" w:rsidR="00250792" w:rsidRPr="00250792" w:rsidRDefault="00250792" w:rsidP="00250792">
      <w:r w:rsidRPr="00250792">
        <w:t xml:space="preserve">El gráfico de </w:t>
      </w:r>
      <w:r w:rsidRPr="00250792">
        <w:rPr>
          <w:b/>
          <w:bCs/>
        </w:rPr>
        <w:t xml:space="preserve">distribución </w:t>
      </w:r>
      <w:proofErr w:type="spellStart"/>
      <w:r w:rsidRPr="00250792">
        <w:rPr>
          <w:b/>
          <w:bCs/>
        </w:rPr>
        <w:t>Kernel</w:t>
      </w:r>
      <w:proofErr w:type="spellEnd"/>
      <w:r w:rsidRPr="00250792">
        <w:rPr>
          <w:b/>
          <w:bCs/>
        </w:rPr>
        <w:t xml:space="preserve"> del salario semanal</w:t>
      </w:r>
      <w:r w:rsidRPr="00250792">
        <w:t xml:space="preserve"> muestra una representación suavizada de la dispersión de los ingresos en la población analizada. A diferencia del histograma, la distribución </w:t>
      </w:r>
      <w:proofErr w:type="spellStart"/>
      <w:r w:rsidRPr="00250792">
        <w:t>Kernel</w:t>
      </w:r>
      <w:proofErr w:type="spellEnd"/>
      <w:r w:rsidRPr="00250792">
        <w:t xml:space="preserve"> permite visualizar la </w:t>
      </w:r>
      <w:r w:rsidRPr="00250792">
        <w:rPr>
          <w:b/>
          <w:bCs/>
        </w:rPr>
        <w:t>forma de la distribución</w:t>
      </w:r>
      <w:r w:rsidRPr="00250792">
        <w:t xml:space="preserve"> sin depender del número de intervalos o </w:t>
      </w:r>
      <w:proofErr w:type="spellStart"/>
      <w:r w:rsidRPr="00250792">
        <w:t>bins</w:t>
      </w:r>
      <w:proofErr w:type="spellEnd"/>
      <w:r w:rsidRPr="00250792">
        <w:t>.</w:t>
      </w:r>
    </w:p>
    <w:p w14:paraId="1E1C08FE" w14:textId="77777777" w:rsidR="00250792" w:rsidRPr="00250792" w:rsidRDefault="00250792" w:rsidP="00250792">
      <w:r w:rsidRPr="00250792">
        <w:rPr>
          <w:rFonts w:ascii="Segoe UI Emoji" w:hAnsi="Segoe UI Emoji" w:cs="Segoe UI Emoji"/>
        </w:rPr>
        <w:t>🔹</w:t>
      </w:r>
      <w:r w:rsidRPr="00250792">
        <w:t xml:space="preserve"> </w:t>
      </w:r>
      <w:r w:rsidRPr="00250792">
        <w:rPr>
          <w:b/>
          <w:bCs/>
        </w:rPr>
        <w:t>Aspectos clave:</w:t>
      </w:r>
    </w:p>
    <w:p w14:paraId="3491B8CA" w14:textId="77777777" w:rsidR="00250792" w:rsidRPr="00250792" w:rsidRDefault="00250792" w:rsidP="00250792">
      <w:pPr>
        <w:numPr>
          <w:ilvl w:val="0"/>
          <w:numId w:val="10"/>
        </w:numPr>
      </w:pPr>
      <w:r w:rsidRPr="00250792">
        <w:rPr>
          <w:b/>
          <w:bCs/>
        </w:rPr>
        <w:t>Alta concentración inicial:</w:t>
      </w:r>
      <w:r w:rsidRPr="00250792">
        <w:t xml:space="preserve"> La curva muestra una gran cantidad de trabajadores con salarios bajos, reflejando una desigualdad en la distribución de ingresos.</w:t>
      </w:r>
    </w:p>
    <w:p w14:paraId="556ADFEB" w14:textId="77777777" w:rsidR="00250792" w:rsidRPr="00250792" w:rsidRDefault="00250792" w:rsidP="00250792">
      <w:pPr>
        <w:numPr>
          <w:ilvl w:val="0"/>
          <w:numId w:val="10"/>
        </w:numPr>
      </w:pPr>
      <w:r w:rsidRPr="00250792">
        <w:rPr>
          <w:b/>
          <w:bCs/>
        </w:rPr>
        <w:t>Sesgo a la derecha:</w:t>
      </w:r>
      <w:r w:rsidRPr="00250792">
        <w:t xml:space="preserve"> Se observa una cola larga hacia valores más altos, indicando que hay pocos trabajadores con salarios significativamente superiores.</w:t>
      </w:r>
    </w:p>
    <w:p w14:paraId="001D1F9A" w14:textId="77777777" w:rsidR="00250792" w:rsidRPr="00250792" w:rsidRDefault="00250792" w:rsidP="00250792">
      <w:pPr>
        <w:numPr>
          <w:ilvl w:val="0"/>
          <w:numId w:val="10"/>
        </w:numPr>
      </w:pPr>
      <w:r w:rsidRPr="00250792">
        <w:rPr>
          <w:b/>
          <w:bCs/>
        </w:rPr>
        <w:t>Menos variabilidad visual que el histograma:</w:t>
      </w:r>
      <w:r w:rsidRPr="00250792">
        <w:t xml:space="preserve"> Al ser un método suavizado, la curva facilita la interpretación de la distribución general sin afectar la precisión de los datos.</w:t>
      </w:r>
    </w:p>
    <w:p w14:paraId="785219A1" w14:textId="6B3B11D6" w:rsidR="00250792" w:rsidRDefault="00250792" w:rsidP="00250792">
      <w:r w:rsidRPr="00250792">
        <w:rPr>
          <w:rFonts w:ascii="Segoe UI Emoji" w:hAnsi="Segoe UI Emoji" w:cs="Segoe UI Emoji"/>
        </w:rPr>
        <w:t>📌</w:t>
      </w:r>
      <w:r w:rsidRPr="00250792">
        <w:t xml:space="preserve"> </w:t>
      </w:r>
      <w:r w:rsidRPr="00250792">
        <w:rPr>
          <w:b/>
          <w:bCs/>
        </w:rPr>
        <w:t>Conclusión:</w:t>
      </w:r>
      <w:r w:rsidRPr="00250792">
        <w:br/>
        <w:t xml:space="preserve">El gráfico confirma que </w:t>
      </w:r>
      <w:r w:rsidRPr="00250792">
        <w:rPr>
          <w:b/>
          <w:bCs/>
        </w:rPr>
        <w:t>la mayoría de los trabajadores tienen salarios bajos</w:t>
      </w:r>
      <w:r w:rsidRPr="00250792">
        <w:t xml:space="preserve">, mientras que una minoría percibe ingresos más altos. Esta asimetría en la distribución es común en estudios de mercado laboral y refleja la desigualdad salarial dentro de la población analizada. </w:t>
      </w:r>
      <w:r>
        <w:rPr>
          <w:noProof/>
        </w:rPr>
        <w:drawing>
          <wp:inline distT="0" distB="0" distL="0" distR="0" wp14:anchorId="18B21E36" wp14:editId="61FD00E5">
            <wp:extent cx="5072332" cy="3145156"/>
            <wp:effectExtent l="0" t="0" r="0" b="0"/>
            <wp:docPr id="13917167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6011" cy="3147437"/>
                    </a:xfrm>
                    <a:prstGeom prst="rect">
                      <a:avLst/>
                    </a:prstGeom>
                    <a:noFill/>
                    <a:ln>
                      <a:noFill/>
                    </a:ln>
                  </pic:spPr>
                </pic:pic>
              </a:graphicData>
            </a:graphic>
          </wp:inline>
        </w:drawing>
      </w:r>
    </w:p>
    <w:p w14:paraId="30AE7D76" w14:textId="2CC220E0" w:rsidR="00250792" w:rsidRDefault="00250792" w:rsidP="00250792"/>
    <w:p w14:paraId="3F956E94" w14:textId="62C00BEA" w:rsidR="00981696" w:rsidRPr="00981696" w:rsidRDefault="00981696" w:rsidP="008D54E8">
      <w:pPr>
        <w:rPr>
          <w:b/>
          <w:bCs/>
          <w:u w:val="single"/>
        </w:rPr>
      </w:pPr>
      <w:r w:rsidRPr="00833B10">
        <w:rPr>
          <w:b/>
          <w:bCs/>
          <w:highlight w:val="cyan"/>
          <w:u w:val="single"/>
        </w:rPr>
        <w:lastRenderedPageBreak/>
        <w:t>PUNTO 2</w:t>
      </w:r>
    </w:p>
    <w:p w14:paraId="019FC793" w14:textId="78635362" w:rsidR="008D54E8" w:rsidRPr="008D54E8" w:rsidRDefault="008D54E8" w:rsidP="008D54E8">
      <w:r w:rsidRPr="008D54E8">
        <w:rPr>
          <w:b/>
          <w:bCs/>
        </w:rPr>
        <w:t>Interpretación Distribución de Educación</w:t>
      </w:r>
    </w:p>
    <w:p w14:paraId="69B7F385" w14:textId="77777777" w:rsidR="008D54E8" w:rsidRPr="008D54E8" w:rsidRDefault="008D54E8" w:rsidP="008D54E8">
      <w:r w:rsidRPr="008D54E8">
        <w:t>Hemos limpiado los datos de educación, eliminando valores fuera del rango lógico (0 a 25 años). Ahora los nuevos resultados reflejan mejor la realidad de la muestra.</w:t>
      </w:r>
    </w:p>
    <w:p w14:paraId="51061A18" w14:textId="77777777" w:rsidR="008D54E8" w:rsidRPr="008D54E8" w:rsidRDefault="008D54E8" w:rsidP="008D54E8">
      <w:r w:rsidRPr="008D54E8">
        <w:rPr>
          <w:rFonts w:ascii="Segoe UI Emoji" w:hAnsi="Segoe UI Emoji" w:cs="Segoe UI Emoji"/>
        </w:rPr>
        <w:t>🔹</w:t>
      </w:r>
      <w:r w:rsidRPr="008D54E8">
        <w:t xml:space="preserve"> </w:t>
      </w:r>
      <w:r w:rsidRPr="008D54E8">
        <w:rPr>
          <w:b/>
          <w:bCs/>
        </w:rPr>
        <w:t>Aspectos clave en la distribución:</w:t>
      </w:r>
    </w:p>
    <w:p w14:paraId="7223FBC8" w14:textId="77777777" w:rsidR="008D54E8" w:rsidRPr="008D54E8" w:rsidRDefault="008D54E8" w:rsidP="008D54E8">
      <w:pPr>
        <w:numPr>
          <w:ilvl w:val="0"/>
          <w:numId w:val="11"/>
        </w:numPr>
      </w:pPr>
      <w:r w:rsidRPr="008D54E8">
        <w:rPr>
          <w:b/>
          <w:bCs/>
        </w:rPr>
        <w:t>Promedio (mean = 9.28 años)</w:t>
      </w:r>
      <w:r w:rsidRPr="008D54E8">
        <w:t xml:space="preserve"> → En promedio, las personas tienen </w:t>
      </w:r>
      <w:r w:rsidRPr="008D54E8">
        <w:rPr>
          <w:b/>
          <w:bCs/>
        </w:rPr>
        <w:t>9.28 años de educación</w:t>
      </w:r>
      <w:r w:rsidRPr="008D54E8">
        <w:t>, lo que sugiere que muchos no completaron la educación secundaria.</w:t>
      </w:r>
    </w:p>
    <w:p w14:paraId="697F2B87" w14:textId="77777777" w:rsidR="008D54E8" w:rsidRPr="008D54E8" w:rsidRDefault="008D54E8" w:rsidP="008D54E8">
      <w:pPr>
        <w:numPr>
          <w:ilvl w:val="0"/>
          <w:numId w:val="11"/>
        </w:numPr>
      </w:pPr>
      <w:r w:rsidRPr="008D54E8">
        <w:rPr>
          <w:b/>
          <w:bCs/>
        </w:rPr>
        <w:t>Desviación estándar (</w:t>
      </w:r>
      <w:proofErr w:type="spellStart"/>
      <w:r w:rsidRPr="008D54E8">
        <w:rPr>
          <w:b/>
          <w:bCs/>
        </w:rPr>
        <w:t>std</w:t>
      </w:r>
      <w:proofErr w:type="spellEnd"/>
      <w:r w:rsidRPr="008D54E8">
        <w:rPr>
          <w:b/>
          <w:bCs/>
        </w:rPr>
        <w:t xml:space="preserve"> = 5.63 años)</w:t>
      </w:r>
      <w:r w:rsidRPr="008D54E8">
        <w:t xml:space="preserve"> → Existe </w:t>
      </w:r>
      <w:r w:rsidRPr="008D54E8">
        <w:rPr>
          <w:b/>
          <w:bCs/>
        </w:rPr>
        <w:t>alta variabilidad</w:t>
      </w:r>
      <w:r w:rsidRPr="008D54E8">
        <w:t>, indicando que hay individuos con niveles educativos muy diferentes.</w:t>
      </w:r>
    </w:p>
    <w:p w14:paraId="4EB5CE42" w14:textId="77777777" w:rsidR="008D54E8" w:rsidRPr="008D54E8" w:rsidRDefault="008D54E8" w:rsidP="008D54E8">
      <w:pPr>
        <w:numPr>
          <w:ilvl w:val="0"/>
          <w:numId w:val="11"/>
        </w:numPr>
      </w:pPr>
      <w:r w:rsidRPr="008D54E8">
        <w:rPr>
          <w:b/>
          <w:bCs/>
        </w:rPr>
        <w:t>Mínimo (min = 0 años)</w:t>
      </w:r>
      <w:r w:rsidRPr="008D54E8">
        <w:t xml:space="preserve"> → Algunos no tienen educación formal, reflejando posibles </w:t>
      </w:r>
      <w:r w:rsidRPr="008D54E8">
        <w:rPr>
          <w:b/>
          <w:bCs/>
        </w:rPr>
        <w:t>barreras educativas</w:t>
      </w:r>
      <w:r w:rsidRPr="008D54E8">
        <w:t xml:space="preserve"> o acceso limitado.</w:t>
      </w:r>
    </w:p>
    <w:p w14:paraId="2FB68941" w14:textId="77777777" w:rsidR="008D54E8" w:rsidRPr="008D54E8" w:rsidRDefault="008D54E8" w:rsidP="008D54E8">
      <w:pPr>
        <w:numPr>
          <w:ilvl w:val="0"/>
          <w:numId w:val="11"/>
        </w:numPr>
      </w:pPr>
      <w:r w:rsidRPr="008D54E8">
        <w:rPr>
          <w:b/>
          <w:bCs/>
        </w:rPr>
        <w:t>Mediana (p50 = 12 años)</w:t>
      </w:r>
      <w:r w:rsidRPr="008D54E8">
        <w:t xml:space="preserve"> → La mitad de la muestra tiene </w:t>
      </w:r>
      <w:r w:rsidRPr="008D54E8">
        <w:rPr>
          <w:b/>
          <w:bCs/>
        </w:rPr>
        <w:t>12 años o menos de educación</w:t>
      </w:r>
      <w:r w:rsidRPr="008D54E8">
        <w:t xml:space="preserve">, lo que indica que </w:t>
      </w:r>
      <w:r w:rsidRPr="008D54E8">
        <w:rPr>
          <w:b/>
          <w:bCs/>
        </w:rPr>
        <w:t>la mayoría finalizó la secundaria</w:t>
      </w:r>
      <w:r w:rsidRPr="008D54E8">
        <w:t>.</w:t>
      </w:r>
    </w:p>
    <w:p w14:paraId="08BC3CD6" w14:textId="77777777" w:rsidR="008D54E8" w:rsidRPr="008D54E8" w:rsidRDefault="008D54E8" w:rsidP="008D54E8">
      <w:pPr>
        <w:numPr>
          <w:ilvl w:val="0"/>
          <w:numId w:val="11"/>
        </w:numPr>
      </w:pPr>
      <w:r w:rsidRPr="008D54E8">
        <w:rPr>
          <w:b/>
          <w:bCs/>
        </w:rPr>
        <w:t>Máximo (</w:t>
      </w:r>
      <w:proofErr w:type="spellStart"/>
      <w:r w:rsidRPr="008D54E8">
        <w:rPr>
          <w:b/>
          <w:bCs/>
        </w:rPr>
        <w:t>max</w:t>
      </w:r>
      <w:proofErr w:type="spellEnd"/>
      <w:r w:rsidRPr="008D54E8">
        <w:rPr>
          <w:b/>
          <w:bCs/>
        </w:rPr>
        <w:t xml:space="preserve"> = 21 años)</w:t>
      </w:r>
      <w:r w:rsidRPr="008D54E8">
        <w:t xml:space="preserve"> → Existen individuos con </w:t>
      </w:r>
      <w:r w:rsidRPr="008D54E8">
        <w:rPr>
          <w:b/>
          <w:bCs/>
        </w:rPr>
        <w:t>hasta 21 años de educación</w:t>
      </w:r>
      <w:r w:rsidRPr="008D54E8">
        <w:t>, alcanzando estudios universitarios avanzados.</w:t>
      </w:r>
    </w:p>
    <w:p w14:paraId="38769664" w14:textId="77777777" w:rsidR="008D54E8" w:rsidRPr="008D54E8" w:rsidRDefault="008D54E8" w:rsidP="008D54E8">
      <w:r w:rsidRPr="008D54E8">
        <w:rPr>
          <w:rFonts w:ascii="Segoe UI Emoji" w:hAnsi="Segoe UI Emoji" w:cs="Segoe UI Emoji"/>
        </w:rPr>
        <w:t>📌</w:t>
      </w:r>
      <w:r w:rsidRPr="008D54E8">
        <w:t xml:space="preserve"> </w:t>
      </w:r>
      <w:r w:rsidRPr="008D54E8">
        <w:rPr>
          <w:b/>
          <w:bCs/>
        </w:rPr>
        <w:t>Conclusión:</w:t>
      </w:r>
      <w:r w:rsidRPr="008D54E8">
        <w:br/>
        <w:t xml:space="preserve">La educación presenta </w:t>
      </w:r>
      <w:r w:rsidRPr="008D54E8">
        <w:rPr>
          <w:b/>
          <w:bCs/>
        </w:rPr>
        <w:t>gran diversidad</w:t>
      </w:r>
      <w:r w:rsidRPr="008D54E8">
        <w:t xml:space="preserve"> en la muestra, con una fuerte concentración en el rango de secundaria, pero también casos sin acceso educativo formal. La limpieza de los datos nos permite ver una distribución más coherente, destacando las diferencias entre los distintos niveles educativos en la población.</w:t>
      </w:r>
    </w:p>
    <w:p w14:paraId="6C37C0D7" w14:textId="77777777" w:rsidR="008D54E8" w:rsidRPr="008D54E8" w:rsidRDefault="008D54E8" w:rsidP="008D54E8">
      <w:pPr>
        <w:rPr>
          <w:b/>
          <w:bCs/>
        </w:rPr>
      </w:pPr>
      <w:r w:rsidRPr="008D54E8">
        <w:rPr>
          <w:b/>
          <w:bCs/>
        </w:rPr>
        <w:t>Promedio: 9.28</w:t>
      </w:r>
    </w:p>
    <w:p w14:paraId="31EDEC18" w14:textId="77777777" w:rsidR="008D54E8" w:rsidRPr="008D54E8" w:rsidRDefault="008D54E8" w:rsidP="008D54E8">
      <w:pPr>
        <w:rPr>
          <w:b/>
          <w:bCs/>
        </w:rPr>
      </w:pPr>
      <w:r w:rsidRPr="008D54E8">
        <w:rPr>
          <w:b/>
          <w:bCs/>
        </w:rPr>
        <w:t>Desviación estándar: 5.63</w:t>
      </w:r>
    </w:p>
    <w:p w14:paraId="0F873574" w14:textId="77777777" w:rsidR="008D54E8" w:rsidRPr="008D54E8" w:rsidRDefault="008D54E8" w:rsidP="008D54E8">
      <w:pPr>
        <w:rPr>
          <w:b/>
          <w:bCs/>
        </w:rPr>
      </w:pPr>
      <w:r w:rsidRPr="008D54E8">
        <w:rPr>
          <w:b/>
          <w:bCs/>
        </w:rPr>
        <w:t>Mínimo: 0.0</w:t>
      </w:r>
    </w:p>
    <w:p w14:paraId="511A69B9" w14:textId="77777777" w:rsidR="008D54E8" w:rsidRPr="008D54E8" w:rsidRDefault="008D54E8" w:rsidP="008D54E8">
      <w:pPr>
        <w:rPr>
          <w:b/>
          <w:bCs/>
        </w:rPr>
      </w:pPr>
      <w:r w:rsidRPr="008D54E8">
        <w:rPr>
          <w:b/>
          <w:bCs/>
        </w:rPr>
        <w:t>Mediana (p50): 12.0</w:t>
      </w:r>
    </w:p>
    <w:p w14:paraId="7D56BC17" w14:textId="77777777" w:rsidR="008D54E8" w:rsidRDefault="008D54E8" w:rsidP="008D54E8">
      <w:pPr>
        <w:rPr>
          <w:b/>
          <w:bCs/>
        </w:rPr>
      </w:pPr>
      <w:r w:rsidRPr="008D54E8">
        <w:rPr>
          <w:b/>
          <w:bCs/>
        </w:rPr>
        <w:t>Máximo: 21.0</w:t>
      </w:r>
    </w:p>
    <w:p w14:paraId="7ADF73CD" w14:textId="77777777" w:rsidR="00981696" w:rsidRDefault="00981696" w:rsidP="008D54E8">
      <w:pPr>
        <w:rPr>
          <w:b/>
          <w:bCs/>
        </w:rPr>
      </w:pPr>
    </w:p>
    <w:p w14:paraId="35DEDF87" w14:textId="77777777" w:rsidR="00981696" w:rsidRDefault="00981696" w:rsidP="008D54E8">
      <w:pPr>
        <w:rPr>
          <w:b/>
          <w:bCs/>
        </w:rPr>
      </w:pPr>
    </w:p>
    <w:p w14:paraId="13A34F1E" w14:textId="77777777" w:rsidR="00981696" w:rsidRDefault="00981696" w:rsidP="008D54E8">
      <w:pPr>
        <w:rPr>
          <w:b/>
          <w:bCs/>
        </w:rPr>
      </w:pPr>
    </w:p>
    <w:p w14:paraId="6C523A09" w14:textId="77777777" w:rsidR="00981696" w:rsidRDefault="00981696" w:rsidP="008D54E8">
      <w:pPr>
        <w:rPr>
          <w:b/>
          <w:bCs/>
        </w:rPr>
      </w:pPr>
    </w:p>
    <w:p w14:paraId="14A57878" w14:textId="77777777" w:rsidR="00981696" w:rsidRDefault="00981696" w:rsidP="008D54E8">
      <w:pPr>
        <w:rPr>
          <w:b/>
          <w:bCs/>
        </w:rPr>
      </w:pPr>
    </w:p>
    <w:p w14:paraId="6DC8CBA5" w14:textId="77777777" w:rsidR="00981696" w:rsidRDefault="00981696" w:rsidP="008D54E8">
      <w:pPr>
        <w:rPr>
          <w:b/>
          <w:bCs/>
        </w:rPr>
      </w:pPr>
    </w:p>
    <w:p w14:paraId="38EAF3A1" w14:textId="28913E2F" w:rsidR="00981696" w:rsidRPr="00981696" w:rsidRDefault="00981696" w:rsidP="008D54E8">
      <w:pPr>
        <w:rPr>
          <w:b/>
          <w:bCs/>
          <w:u w:val="single"/>
        </w:rPr>
      </w:pPr>
      <w:r w:rsidRPr="00833B10">
        <w:rPr>
          <w:b/>
          <w:bCs/>
          <w:highlight w:val="cyan"/>
          <w:u w:val="single"/>
        </w:rPr>
        <w:t>PUNTO 3</w:t>
      </w:r>
    </w:p>
    <w:p w14:paraId="40BAA9FA" w14:textId="7C95FC47" w:rsidR="008D54E8" w:rsidRPr="008D54E8" w:rsidRDefault="008D54E8" w:rsidP="008D54E8">
      <w:pPr>
        <w:rPr>
          <w:b/>
          <w:bCs/>
        </w:rPr>
      </w:pPr>
      <w:r w:rsidRPr="008D54E8">
        <w:rPr>
          <w:b/>
          <w:bCs/>
          <w:highlight w:val="yellow"/>
        </w:rPr>
        <w:t>Interpretación Histograma del Salario Semanal (Panel A)</w:t>
      </w:r>
    </w:p>
    <w:p w14:paraId="5417ABC5" w14:textId="77777777" w:rsidR="008D54E8" w:rsidRPr="0077241A" w:rsidRDefault="008D54E8" w:rsidP="008D54E8">
      <w:pPr>
        <w:rPr>
          <w:rFonts w:ascii="Segoe UI Emoji" w:hAnsi="Segoe UI Emoji" w:cs="Segoe UI Emoji"/>
        </w:rPr>
      </w:pPr>
      <w:r w:rsidRPr="0077241A">
        <w:rPr>
          <w:rFonts w:ascii="Segoe UI Emoji" w:hAnsi="Segoe UI Emoji" w:cs="Segoe UI Emoji"/>
        </w:rPr>
        <w:t>El histograma del salario semanal nos permite visualizar la frecuencia con la que se presentan diferentes niveles de ingreso en la población analizada.</w:t>
      </w:r>
    </w:p>
    <w:p w14:paraId="2B257724" w14:textId="77777777" w:rsidR="008D54E8" w:rsidRPr="0077241A" w:rsidRDefault="008D54E8" w:rsidP="008D54E8">
      <w:pPr>
        <w:rPr>
          <w:rFonts w:ascii="Segoe UI Emoji" w:hAnsi="Segoe UI Emoji" w:cs="Segoe UI Emoji"/>
          <w:b/>
          <w:bCs/>
        </w:rPr>
      </w:pPr>
      <w:r w:rsidRPr="0077241A">
        <w:rPr>
          <w:rFonts w:ascii="Segoe UI Emoji" w:hAnsi="Segoe UI Emoji" w:cs="Segoe UI Emoji"/>
          <w:b/>
          <w:bCs/>
        </w:rPr>
        <w:t>🔹 Aspectos clave:</w:t>
      </w:r>
    </w:p>
    <w:p w14:paraId="575859FF" w14:textId="77777777" w:rsidR="008D54E8" w:rsidRPr="0077241A" w:rsidRDefault="008D54E8" w:rsidP="0077241A">
      <w:pPr>
        <w:rPr>
          <w:rFonts w:ascii="Segoe UI Emoji" w:hAnsi="Segoe UI Emoji" w:cs="Segoe UI Emoji"/>
        </w:rPr>
      </w:pPr>
      <w:r w:rsidRPr="0077241A">
        <w:rPr>
          <w:rFonts w:ascii="Segoe UI Emoji" w:hAnsi="Segoe UI Emoji" w:cs="Segoe UI Emoji"/>
          <w:b/>
          <w:bCs/>
        </w:rPr>
        <w:t>Alta concentración de valores bajos:</w:t>
      </w:r>
      <w:r w:rsidRPr="0077241A">
        <w:rPr>
          <w:rFonts w:ascii="Segoe UI Emoji" w:hAnsi="Segoe UI Emoji" w:cs="Segoe UI Emoji"/>
        </w:rPr>
        <w:t xml:space="preserve"> La mayoría de los trabajadores tiene salarios bajos, indicando una distribución desigual de ingresos.</w:t>
      </w:r>
    </w:p>
    <w:p w14:paraId="73817522" w14:textId="77777777" w:rsidR="008D54E8" w:rsidRPr="0077241A" w:rsidRDefault="008D54E8" w:rsidP="0077241A">
      <w:pPr>
        <w:rPr>
          <w:rFonts w:ascii="Segoe UI Emoji" w:hAnsi="Segoe UI Emoji" w:cs="Segoe UI Emoji"/>
        </w:rPr>
      </w:pPr>
      <w:r w:rsidRPr="0077241A">
        <w:rPr>
          <w:rFonts w:ascii="Segoe UI Emoji" w:hAnsi="Segoe UI Emoji" w:cs="Segoe UI Emoji"/>
          <w:b/>
          <w:bCs/>
        </w:rPr>
        <w:t>Sesgo a la derecha</w:t>
      </w:r>
      <w:r w:rsidRPr="0077241A">
        <w:rPr>
          <w:rFonts w:ascii="Segoe UI Emoji" w:hAnsi="Segoe UI Emoji" w:cs="Segoe UI Emoji"/>
        </w:rPr>
        <w:t>: La distribución presenta una cola larga, reflejando que pocos individuos tienen salarios muy altos.</w:t>
      </w:r>
    </w:p>
    <w:p w14:paraId="48778FF6" w14:textId="77777777" w:rsidR="008D54E8" w:rsidRPr="0077241A" w:rsidRDefault="008D54E8" w:rsidP="0077241A">
      <w:pPr>
        <w:rPr>
          <w:rFonts w:ascii="Segoe UI Emoji" w:hAnsi="Segoe UI Emoji" w:cs="Segoe UI Emoji"/>
        </w:rPr>
      </w:pPr>
      <w:r w:rsidRPr="0077241A">
        <w:rPr>
          <w:rFonts w:ascii="Segoe UI Emoji" w:hAnsi="Segoe UI Emoji" w:cs="Segoe UI Emoji"/>
          <w:b/>
          <w:bCs/>
        </w:rPr>
        <w:t>Posibles valores extremos</w:t>
      </w:r>
      <w:r w:rsidRPr="0077241A">
        <w:rPr>
          <w:rFonts w:ascii="Segoe UI Emoji" w:hAnsi="Segoe UI Emoji" w:cs="Segoe UI Emoji"/>
        </w:rPr>
        <w:t>: Si aparecen barras separadas del resto, podrían ser casos atípicos o registros con ingresos fuera de lo común.</w:t>
      </w:r>
    </w:p>
    <w:p w14:paraId="2DDABEE3" w14:textId="77777777" w:rsidR="008D54E8" w:rsidRPr="0077241A" w:rsidRDefault="008D54E8" w:rsidP="008D54E8">
      <w:pPr>
        <w:rPr>
          <w:rFonts w:ascii="Segoe UI Emoji" w:hAnsi="Segoe UI Emoji" w:cs="Segoe UI Emoji"/>
        </w:rPr>
      </w:pPr>
      <w:r w:rsidRPr="0077241A">
        <w:rPr>
          <w:rFonts w:ascii="Segoe UI Emoji" w:hAnsi="Segoe UI Emoji" w:cs="Segoe UI Emoji"/>
          <w:b/>
          <w:bCs/>
        </w:rPr>
        <w:t>📌 Conclusión:</w:t>
      </w:r>
      <w:r w:rsidRPr="0077241A">
        <w:rPr>
          <w:rFonts w:ascii="Segoe UI Emoji" w:hAnsi="Segoe UI Emoji" w:cs="Segoe UI Emoji"/>
        </w:rPr>
        <w:br/>
        <w:t>Este histograma sugiere que el mercado laboral tiene una alta desigualdad salarial, donde la mayoría recibe ingresos bajos mientras que unos pocos logran salarios significativamente altos.</w:t>
      </w:r>
    </w:p>
    <w:p w14:paraId="462F2584" w14:textId="77777777" w:rsidR="00981696" w:rsidRDefault="00981696" w:rsidP="008D54E8">
      <w:pPr>
        <w:rPr>
          <w:b/>
          <w:bCs/>
          <w:highlight w:val="yellow"/>
        </w:rPr>
      </w:pPr>
    </w:p>
    <w:p w14:paraId="3BD9E13B" w14:textId="0555C339" w:rsidR="008D54E8" w:rsidRPr="008D54E8" w:rsidRDefault="008D54E8" w:rsidP="008D54E8">
      <w:pPr>
        <w:rPr>
          <w:b/>
          <w:bCs/>
        </w:rPr>
      </w:pPr>
      <w:r w:rsidRPr="008D54E8">
        <w:rPr>
          <w:b/>
          <w:bCs/>
          <w:highlight w:val="yellow"/>
        </w:rPr>
        <w:t xml:space="preserve">Interpretación Distribución de </w:t>
      </w:r>
      <w:proofErr w:type="spellStart"/>
      <w:r w:rsidRPr="008D54E8">
        <w:rPr>
          <w:b/>
          <w:bCs/>
          <w:highlight w:val="yellow"/>
        </w:rPr>
        <w:t>Kernel</w:t>
      </w:r>
      <w:proofErr w:type="spellEnd"/>
      <w:r w:rsidRPr="008D54E8">
        <w:rPr>
          <w:b/>
          <w:bCs/>
          <w:highlight w:val="yellow"/>
        </w:rPr>
        <w:t xml:space="preserve"> (Panel B)</w:t>
      </w:r>
    </w:p>
    <w:p w14:paraId="30A27B50" w14:textId="77777777" w:rsidR="008D54E8" w:rsidRPr="0077241A" w:rsidRDefault="008D54E8" w:rsidP="008D54E8">
      <w:pPr>
        <w:rPr>
          <w:rFonts w:ascii="Segoe UI Emoji" w:hAnsi="Segoe UI Emoji" w:cs="Segoe UI Emoji"/>
        </w:rPr>
      </w:pPr>
      <w:r w:rsidRPr="0077241A">
        <w:rPr>
          <w:rFonts w:ascii="Segoe UI Emoji" w:hAnsi="Segoe UI Emoji" w:cs="Segoe UI Emoji"/>
        </w:rPr>
        <w:t xml:space="preserve">El gráfico de distribución </w:t>
      </w:r>
      <w:proofErr w:type="spellStart"/>
      <w:r w:rsidRPr="0077241A">
        <w:rPr>
          <w:rFonts w:ascii="Segoe UI Emoji" w:hAnsi="Segoe UI Emoji" w:cs="Segoe UI Emoji"/>
        </w:rPr>
        <w:t>Kernel</w:t>
      </w:r>
      <w:proofErr w:type="spellEnd"/>
      <w:r w:rsidRPr="0077241A">
        <w:rPr>
          <w:rFonts w:ascii="Segoe UI Emoji" w:hAnsi="Segoe UI Emoji" w:cs="Segoe UI Emoji"/>
        </w:rPr>
        <w:t xml:space="preserve"> muestra de forma suavizada la dispersión de salarios, permitiendo visualizar diferencias entre ocupados (Estado == 1) y desocupados (Estado == 2).</w:t>
      </w:r>
    </w:p>
    <w:p w14:paraId="64616E99" w14:textId="77777777" w:rsidR="008D54E8" w:rsidRPr="0077241A" w:rsidRDefault="008D54E8" w:rsidP="008D54E8">
      <w:pPr>
        <w:rPr>
          <w:rFonts w:ascii="Segoe UI Emoji" w:hAnsi="Segoe UI Emoji" w:cs="Segoe UI Emoji"/>
        </w:rPr>
      </w:pPr>
      <w:r w:rsidRPr="0077241A">
        <w:rPr>
          <w:rFonts w:ascii="Segoe UI Emoji" w:hAnsi="Segoe UI Emoji" w:cs="Segoe UI Emoji"/>
        </w:rPr>
        <w:t>🔹 Aspectos clave:</w:t>
      </w:r>
    </w:p>
    <w:p w14:paraId="08DCC8D0" w14:textId="77777777" w:rsidR="008D54E8" w:rsidRPr="0077241A" w:rsidRDefault="008D54E8" w:rsidP="0077241A">
      <w:pPr>
        <w:rPr>
          <w:rFonts w:ascii="Segoe UI Emoji" w:hAnsi="Segoe UI Emoji" w:cs="Segoe UI Emoji"/>
          <w:b/>
          <w:bCs/>
        </w:rPr>
      </w:pPr>
      <w:r w:rsidRPr="0077241A">
        <w:rPr>
          <w:rFonts w:ascii="Segoe UI Emoji" w:hAnsi="Segoe UI Emoji" w:cs="Segoe UI Emoji"/>
          <w:b/>
          <w:bCs/>
        </w:rPr>
        <w:t>Diferencias entre ocupados y desocupados:</w:t>
      </w:r>
    </w:p>
    <w:p w14:paraId="19109640" w14:textId="77777777" w:rsidR="008D54E8" w:rsidRPr="0077241A" w:rsidRDefault="008D54E8" w:rsidP="0077241A">
      <w:pPr>
        <w:rPr>
          <w:rFonts w:ascii="Segoe UI Emoji" w:hAnsi="Segoe UI Emoji" w:cs="Segoe UI Emoji"/>
        </w:rPr>
      </w:pPr>
      <w:r w:rsidRPr="0077241A">
        <w:rPr>
          <w:rFonts w:ascii="Segoe UI Emoji" w:hAnsi="Segoe UI Emoji" w:cs="Segoe UI Emoji"/>
        </w:rPr>
        <w:t>Los ocupados tienen una mayor concentración de salarios en valores medios y altos.</w:t>
      </w:r>
    </w:p>
    <w:p w14:paraId="2C60E20E" w14:textId="77777777" w:rsidR="008D54E8" w:rsidRPr="0077241A" w:rsidRDefault="008D54E8" w:rsidP="0077241A">
      <w:pPr>
        <w:rPr>
          <w:rFonts w:ascii="Segoe UI Emoji" w:hAnsi="Segoe UI Emoji" w:cs="Segoe UI Emoji"/>
        </w:rPr>
      </w:pPr>
      <w:r w:rsidRPr="0077241A">
        <w:rPr>
          <w:rFonts w:ascii="Segoe UI Emoji" w:hAnsi="Segoe UI Emoji" w:cs="Segoe UI Emoji"/>
        </w:rPr>
        <w:t>Los desocupados presentan una distribución más baja, reflejando ingresos limitados o ausencia de salario.</w:t>
      </w:r>
    </w:p>
    <w:p w14:paraId="1BCCED88" w14:textId="77777777" w:rsidR="008D54E8" w:rsidRPr="0077241A" w:rsidRDefault="008D54E8" w:rsidP="0077241A">
      <w:pPr>
        <w:rPr>
          <w:rFonts w:ascii="Segoe UI Emoji" w:hAnsi="Segoe UI Emoji" w:cs="Segoe UI Emoji"/>
        </w:rPr>
      </w:pPr>
      <w:r w:rsidRPr="0077241A">
        <w:rPr>
          <w:rFonts w:ascii="Segoe UI Emoji" w:hAnsi="Segoe UI Emoji" w:cs="Segoe UI Emoji"/>
          <w:b/>
          <w:bCs/>
        </w:rPr>
        <w:t>Sesgo a la derecha en ambas curvas</w:t>
      </w:r>
      <w:r w:rsidRPr="0077241A">
        <w:rPr>
          <w:rFonts w:ascii="Segoe UI Emoji" w:hAnsi="Segoe UI Emoji" w:cs="Segoe UI Emoji"/>
        </w:rPr>
        <w:t>: Se confirma que la mayoría de los trabajadores ganan poco, mientras que unos pocos reciben salarios elevados.</w:t>
      </w:r>
    </w:p>
    <w:p w14:paraId="1FC147F6" w14:textId="77777777" w:rsidR="008D54E8" w:rsidRPr="0077241A" w:rsidRDefault="008D54E8" w:rsidP="0077241A">
      <w:pPr>
        <w:rPr>
          <w:rFonts w:ascii="Segoe UI Emoji" w:hAnsi="Segoe UI Emoji" w:cs="Segoe UI Emoji"/>
        </w:rPr>
      </w:pPr>
      <w:r w:rsidRPr="0077241A">
        <w:rPr>
          <w:rFonts w:ascii="Segoe UI Emoji" w:hAnsi="Segoe UI Emoji" w:cs="Segoe UI Emoji"/>
          <w:b/>
          <w:bCs/>
        </w:rPr>
        <w:t>Variabilidad entre ambos grupos</w:t>
      </w:r>
      <w:r w:rsidRPr="0077241A">
        <w:rPr>
          <w:rFonts w:ascii="Segoe UI Emoji" w:hAnsi="Segoe UI Emoji" w:cs="Segoe UI Emoji"/>
        </w:rPr>
        <w:t>: La separación entre las curvas sugiere que la condición laboral afecta significativamente la estructura salarial.</w:t>
      </w:r>
    </w:p>
    <w:p w14:paraId="54770DF1" w14:textId="77777777" w:rsidR="00981696" w:rsidRPr="0077241A" w:rsidRDefault="00981696" w:rsidP="008D54E8">
      <w:pPr>
        <w:rPr>
          <w:rFonts w:ascii="Segoe UI Emoji" w:hAnsi="Segoe UI Emoji" w:cs="Segoe UI Emoji"/>
        </w:rPr>
      </w:pPr>
    </w:p>
    <w:p w14:paraId="32AAA8B4" w14:textId="19BF218E" w:rsidR="008D54E8" w:rsidRPr="0077241A" w:rsidRDefault="008D54E8" w:rsidP="008D54E8">
      <w:pPr>
        <w:rPr>
          <w:rFonts w:ascii="Segoe UI Emoji" w:hAnsi="Segoe UI Emoji" w:cs="Segoe UI Emoji"/>
        </w:rPr>
      </w:pPr>
      <w:r w:rsidRPr="0077241A">
        <w:rPr>
          <w:rFonts w:ascii="Segoe UI Emoji" w:hAnsi="Segoe UI Emoji" w:cs="Segoe UI Emoji"/>
          <w:b/>
          <w:bCs/>
        </w:rPr>
        <w:t>📌 Conclusión:</w:t>
      </w:r>
      <w:r w:rsidRPr="0077241A">
        <w:rPr>
          <w:rFonts w:ascii="Segoe UI Emoji" w:hAnsi="Segoe UI Emoji" w:cs="Segoe UI Emoji"/>
        </w:rPr>
        <w:br/>
        <w:t xml:space="preserve">La distribución </w:t>
      </w:r>
      <w:proofErr w:type="spellStart"/>
      <w:r w:rsidRPr="0077241A">
        <w:rPr>
          <w:rFonts w:ascii="Segoe UI Emoji" w:hAnsi="Segoe UI Emoji" w:cs="Segoe UI Emoji"/>
        </w:rPr>
        <w:t>Kernel</w:t>
      </w:r>
      <w:proofErr w:type="spellEnd"/>
      <w:r w:rsidRPr="0077241A">
        <w:rPr>
          <w:rFonts w:ascii="Segoe UI Emoji" w:hAnsi="Segoe UI Emoji" w:cs="Segoe UI Emoji"/>
        </w:rPr>
        <w:t xml:space="preserve"> refuerza la desigualdad observada en el histograma, mostrando que los desocupados tienen menores ingresos, y los ocupados presentan una curva más extendida hacia valores altos, indicando mayores oportunidades de salario dentro del empleo formal. </w:t>
      </w:r>
    </w:p>
    <w:p w14:paraId="54F25BC4" w14:textId="27102D68" w:rsidR="008D54E8" w:rsidRPr="008D54E8" w:rsidRDefault="008D54E8" w:rsidP="008D54E8">
      <w:pPr>
        <w:rPr>
          <w:b/>
          <w:bCs/>
        </w:rPr>
      </w:pPr>
      <w:r>
        <w:rPr>
          <w:noProof/>
        </w:rPr>
        <w:drawing>
          <wp:inline distT="0" distB="0" distL="0" distR="0" wp14:anchorId="05B4EB8D" wp14:editId="48D4CED9">
            <wp:extent cx="5400040" cy="2224405"/>
            <wp:effectExtent l="0" t="0" r="0" b="4445"/>
            <wp:docPr id="20600753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224405"/>
                    </a:xfrm>
                    <a:prstGeom prst="rect">
                      <a:avLst/>
                    </a:prstGeom>
                    <a:noFill/>
                    <a:ln>
                      <a:noFill/>
                    </a:ln>
                  </pic:spPr>
                </pic:pic>
              </a:graphicData>
            </a:graphic>
          </wp:inline>
        </w:drawing>
      </w:r>
    </w:p>
    <w:p w14:paraId="6E020A07" w14:textId="5F47B32A" w:rsidR="00981696" w:rsidRPr="00981696" w:rsidRDefault="00981696" w:rsidP="00981696">
      <w:pPr>
        <w:rPr>
          <w:rFonts w:ascii="Segoe UI Emoji" w:hAnsi="Segoe UI Emoji" w:cs="Segoe UI Emoji"/>
          <w:b/>
          <w:bCs/>
          <w:u w:val="single"/>
        </w:rPr>
      </w:pPr>
      <w:r w:rsidRPr="00833B10">
        <w:rPr>
          <w:rFonts w:ascii="Segoe UI Emoji" w:hAnsi="Segoe UI Emoji" w:cs="Segoe UI Emoji"/>
          <w:b/>
          <w:bCs/>
          <w:highlight w:val="cyan"/>
          <w:u w:val="single"/>
        </w:rPr>
        <w:t>PUNTO 4</w:t>
      </w:r>
    </w:p>
    <w:p w14:paraId="79D0F70A" w14:textId="77777777" w:rsidR="00981696" w:rsidRPr="00981696" w:rsidRDefault="00981696" w:rsidP="00981696">
      <w:pPr>
        <w:rPr>
          <w:rFonts w:ascii="Segoe UI Emoji" w:hAnsi="Segoe UI Emoji" w:cs="Segoe UI Emoji"/>
          <w:b/>
          <w:bCs/>
          <w:highlight w:val="yellow"/>
        </w:rPr>
      </w:pPr>
      <w:r w:rsidRPr="00981696">
        <w:rPr>
          <w:rFonts w:ascii="Segoe UI Emoji" w:hAnsi="Segoe UI Emoji" w:cs="Segoe UI Emoji"/>
          <w:b/>
          <w:bCs/>
          <w:highlight w:val="yellow"/>
        </w:rPr>
        <w:t>Interpretación de los resultados de horas trabajadas</w:t>
      </w:r>
    </w:p>
    <w:p w14:paraId="60A22E2C" w14:textId="77777777" w:rsidR="00981696" w:rsidRPr="0077241A" w:rsidRDefault="00981696" w:rsidP="00981696">
      <w:pPr>
        <w:rPr>
          <w:rFonts w:ascii="Segoe UI Emoji" w:hAnsi="Segoe UI Emoji" w:cs="Segoe UI Emoji"/>
        </w:rPr>
      </w:pPr>
      <w:r w:rsidRPr="0077241A">
        <w:rPr>
          <w:rFonts w:ascii="Segoe UI Emoji" w:hAnsi="Segoe UI Emoji" w:cs="Segoe UI Emoji"/>
        </w:rPr>
        <w:t xml:space="preserve">La distribución de </w:t>
      </w:r>
      <w:proofErr w:type="spellStart"/>
      <w:r w:rsidRPr="0077241A">
        <w:rPr>
          <w:rFonts w:ascii="Segoe UI Emoji" w:hAnsi="Segoe UI Emoji" w:cs="Segoe UI Emoji"/>
        </w:rPr>
        <w:t>horastrab</w:t>
      </w:r>
      <w:proofErr w:type="spellEnd"/>
      <w:r w:rsidRPr="0077241A">
        <w:rPr>
          <w:rFonts w:ascii="Segoe UI Emoji" w:hAnsi="Segoe UI Emoji" w:cs="Segoe UI Emoji"/>
        </w:rPr>
        <w:t xml:space="preserve"> muestra una gran heterogeneidad en el mercado laboral.</w:t>
      </w:r>
    </w:p>
    <w:p w14:paraId="48D22B6B" w14:textId="77777777" w:rsidR="00981696" w:rsidRPr="0077241A" w:rsidRDefault="00981696" w:rsidP="00981696">
      <w:pPr>
        <w:rPr>
          <w:rFonts w:ascii="Segoe UI Emoji" w:hAnsi="Segoe UI Emoji" w:cs="Segoe UI Emoji"/>
        </w:rPr>
      </w:pPr>
      <w:r w:rsidRPr="0077241A">
        <w:rPr>
          <w:rFonts w:ascii="Segoe UI Emoji" w:hAnsi="Segoe UI Emoji" w:cs="Segoe UI Emoji"/>
        </w:rPr>
        <w:t xml:space="preserve">🔹 </w:t>
      </w:r>
      <w:r w:rsidRPr="0077241A">
        <w:rPr>
          <w:rFonts w:ascii="Segoe UI Emoji" w:hAnsi="Segoe UI Emoji" w:cs="Segoe UI Emoji"/>
          <w:b/>
          <w:bCs/>
        </w:rPr>
        <w:t>Los trabajadores con pocas horas predominan:</w:t>
      </w:r>
      <w:r w:rsidRPr="0077241A">
        <w:rPr>
          <w:rFonts w:ascii="Segoe UI Emoji" w:hAnsi="Segoe UI Emoji" w:cs="Segoe UI Emoji"/>
        </w:rPr>
        <w:br/>
        <w:t>La mediana es de 6 horas semanales, lo que indica que la mitad de la población trabaja menos de lo que se consideraría una jornada laboral completa. Esto puede reflejar empleo informal, trabajos de medio tiempo o situaciones de subempleo.</w:t>
      </w:r>
    </w:p>
    <w:p w14:paraId="41D8951E" w14:textId="77777777" w:rsidR="00981696" w:rsidRPr="0077241A" w:rsidRDefault="00981696" w:rsidP="00981696">
      <w:pPr>
        <w:rPr>
          <w:rFonts w:ascii="Segoe UI Emoji" w:hAnsi="Segoe UI Emoji" w:cs="Segoe UI Emoji"/>
        </w:rPr>
      </w:pPr>
      <w:r w:rsidRPr="0077241A">
        <w:rPr>
          <w:rFonts w:ascii="Segoe UI Emoji" w:hAnsi="Segoe UI Emoji" w:cs="Segoe UI Emoji"/>
        </w:rPr>
        <w:t xml:space="preserve">🔹 </w:t>
      </w:r>
      <w:r w:rsidRPr="0077241A">
        <w:rPr>
          <w:rFonts w:ascii="Segoe UI Emoji" w:hAnsi="Segoe UI Emoji" w:cs="Segoe UI Emoji"/>
          <w:b/>
          <w:bCs/>
        </w:rPr>
        <w:t>Variabilidad extrema en la carga laboral:</w:t>
      </w:r>
      <w:r w:rsidRPr="0077241A">
        <w:rPr>
          <w:rFonts w:ascii="Segoe UI Emoji" w:hAnsi="Segoe UI Emoji" w:cs="Segoe UI Emoji"/>
        </w:rPr>
        <w:br/>
        <w:t>La desviación estándar es alta, lo que significa que las diferencias en las horas trabajadas entre individuos son muy marcadas. Mientras unos trabajan muy poco, otros tienen jornadas extendidas, con un máximo de 83 horas semanales, lo cual sugiere condiciones laborales exigentes en ciertos sectores.</w:t>
      </w:r>
    </w:p>
    <w:p w14:paraId="2CDD734C" w14:textId="77777777" w:rsidR="00981696" w:rsidRPr="0077241A" w:rsidRDefault="00981696" w:rsidP="00981696">
      <w:pPr>
        <w:rPr>
          <w:rFonts w:ascii="Segoe UI Emoji" w:hAnsi="Segoe UI Emoji" w:cs="Segoe UI Emoji"/>
        </w:rPr>
      </w:pPr>
      <w:r w:rsidRPr="0077241A">
        <w:rPr>
          <w:rFonts w:ascii="Segoe UI Emoji" w:hAnsi="Segoe UI Emoji" w:cs="Segoe UI Emoji"/>
        </w:rPr>
        <w:t>🔹</w:t>
      </w:r>
      <w:r w:rsidRPr="0077241A">
        <w:rPr>
          <w:rFonts w:ascii="Segoe UI Emoji" w:hAnsi="Segoe UI Emoji" w:cs="Segoe UI Emoji"/>
          <w:b/>
          <w:bCs/>
        </w:rPr>
        <w:t xml:space="preserve"> Polarización en la distribución:</w:t>
      </w:r>
      <w:r w:rsidRPr="0077241A">
        <w:rPr>
          <w:rFonts w:ascii="Segoe UI Emoji" w:hAnsi="Segoe UI Emoji" w:cs="Segoe UI Emoji"/>
        </w:rPr>
        <w:br/>
        <w:t>Si bien hay una concentración de trabajadores con pocas horas, también existen individuos con una alta carga laboral, generando una estructura de trabajo polarizada, donde unos apenas trabajan y otros tienen jornadas prolongadas.</w:t>
      </w:r>
    </w:p>
    <w:p w14:paraId="01781FA9" w14:textId="77777777" w:rsidR="00981696" w:rsidRPr="0077241A" w:rsidRDefault="00981696" w:rsidP="00981696">
      <w:pPr>
        <w:rPr>
          <w:rFonts w:ascii="Segoe UI Emoji" w:hAnsi="Segoe UI Emoji" w:cs="Segoe UI Emoji"/>
        </w:rPr>
      </w:pPr>
    </w:p>
    <w:p w14:paraId="469CE474" w14:textId="2A4A5A54" w:rsidR="00981696" w:rsidRPr="0077241A" w:rsidRDefault="00981696" w:rsidP="00981696">
      <w:pPr>
        <w:rPr>
          <w:rFonts w:ascii="Segoe UI Emoji" w:hAnsi="Segoe UI Emoji" w:cs="Segoe UI Emoji"/>
        </w:rPr>
      </w:pPr>
      <w:r w:rsidRPr="0077241A">
        <w:rPr>
          <w:rFonts w:ascii="Segoe UI Emoji" w:hAnsi="Segoe UI Emoji" w:cs="Segoe UI Emoji"/>
          <w:b/>
          <w:bCs/>
        </w:rPr>
        <w:t>📌 Conclusión:</w:t>
      </w:r>
      <w:r w:rsidRPr="0077241A">
        <w:rPr>
          <w:rFonts w:ascii="Segoe UI Emoji" w:hAnsi="Segoe UI Emoji" w:cs="Segoe UI Emoji"/>
        </w:rPr>
        <w:br/>
        <w:t>Los datos sugieren que el mercado laboral no ofrece un esquema uniforme de empleo. La disparidad en las horas trabajadas puede deberse a diferencias en el acceso a empleos formales, condiciones laborales específicas de ciertos sectores o situaciones económicas que limitan la estabilidad del empleo.</w:t>
      </w:r>
    </w:p>
    <w:p w14:paraId="373A7C6C" w14:textId="49A7F89D" w:rsidR="00981696" w:rsidRPr="00981696" w:rsidRDefault="00981696" w:rsidP="00981696">
      <w:pPr>
        <w:rPr>
          <w:rFonts w:ascii="Segoe UI Emoji" w:hAnsi="Segoe UI Emoji" w:cs="Segoe UI Emoji"/>
          <w:b/>
          <w:bCs/>
          <w:u w:val="single"/>
        </w:rPr>
      </w:pPr>
      <w:r w:rsidRPr="00833B10">
        <w:rPr>
          <w:rFonts w:ascii="Segoe UI Emoji" w:hAnsi="Segoe UI Emoji" w:cs="Segoe UI Emoji"/>
          <w:b/>
          <w:bCs/>
          <w:highlight w:val="cyan"/>
          <w:u w:val="single"/>
        </w:rPr>
        <w:t>PUNTO 5</w:t>
      </w:r>
    </w:p>
    <w:p w14:paraId="726ACDC6" w14:textId="0C88AE51" w:rsidR="00833B10" w:rsidRPr="009A0334" w:rsidRDefault="00833B10" w:rsidP="00833B10">
      <w:pPr>
        <w:rPr>
          <w:rFonts w:ascii="Century Schoolbook" w:eastAsia="Century Schoolbook" w:hAnsi="Century Schoolbook"/>
          <w:b/>
          <w:bCs/>
          <w:lang w:val="es-US"/>
        </w:rPr>
      </w:pPr>
      <w:r w:rsidRPr="009A0334">
        <w:rPr>
          <w:rFonts w:ascii="Century Schoolbook" w:eastAsia="Century Schoolbook" w:hAnsi="Century Schoolbook"/>
          <w:b/>
          <w:bCs/>
          <w:lang w:val="es-US"/>
        </w:rPr>
        <w:t xml:space="preserve">Tabla 1. Resumen de la base final para la </w:t>
      </w:r>
      <w:r w:rsidR="00116559" w:rsidRPr="009A0334">
        <w:rPr>
          <w:rFonts w:ascii="Century Schoolbook" w:eastAsia="Century Schoolbook" w:hAnsi="Century Schoolbook"/>
          <w:b/>
          <w:bCs/>
          <w:lang w:val="es-US"/>
        </w:rPr>
        <w:t>región</w:t>
      </w:r>
      <w:r w:rsidRPr="009A0334">
        <w:rPr>
          <w:rFonts w:ascii="Century Schoolbook" w:eastAsia="Century Schoolbook" w:hAnsi="Century Schoolbook"/>
          <w:b/>
          <w:bCs/>
          <w:lang w:val="es-US"/>
        </w:rPr>
        <w:t xml:space="preserve"> </w:t>
      </w:r>
      <w:r w:rsidR="00116559" w:rsidRPr="00116559">
        <w:rPr>
          <w:rFonts w:ascii="Century Schoolbook" w:eastAsia="Century Schoolbook" w:hAnsi="Century Schoolbook"/>
          <w:b/>
          <w:bCs/>
        </w:rPr>
        <w:t>Gran Buenos Aires</w:t>
      </w:r>
    </w:p>
    <w:tbl>
      <w:tblPr>
        <w:tblStyle w:val="Tablaconcuadrcula"/>
        <w:tblW w:w="8641" w:type="dxa"/>
        <w:tblLook w:val="04A0" w:firstRow="1" w:lastRow="0" w:firstColumn="1" w:lastColumn="0" w:noHBand="0" w:noVBand="1"/>
      </w:tblPr>
      <w:tblGrid>
        <w:gridCol w:w="3049"/>
        <w:gridCol w:w="1864"/>
        <w:gridCol w:w="1864"/>
        <w:gridCol w:w="1864"/>
      </w:tblGrid>
      <w:tr w:rsidR="00833B10" w:rsidRPr="009A0334" w14:paraId="6E003A7E" w14:textId="77777777" w:rsidTr="00044B40">
        <w:trPr>
          <w:trHeight w:val="283"/>
        </w:trPr>
        <w:tc>
          <w:tcPr>
            <w:tcW w:w="3049" w:type="dxa"/>
          </w:tcPr>
          <w:p w14:paraId="06651819" w14:textId="77777777" w:rsidR="00833B10" w:rsidRPr="009A0334" w:rsidRDefault="00833B10" w:rsidP="00044B40">
            <w:pPr>
              <w:rPr>
                <w:rFonts w:ascii="Century Schoolbook" w:eastAsia="Century Schoolbook" w:hAnsi="Century Schoolbook"/>
                <w:lang w:val="es-US"/>
              </w:rPr>
            </w:pPr>
          </w:p>
        </w:tc>
        <w:tc>
          <w:tcPr>
            <w:tcW w:w="1864" w:type="dxa"/>
          </w:tcPr>
          <w:p w14:paraId="6F5A3D23" w14:textId="77777777" w:rsidR="00833B10" w:rsidRPr="009A0334" w:rsidRDefault="00833B10" w:rsidP="00044B40">
            <w:pPr>
              <w:jc w:val="center"/>
              <w:rPr>
                <w:rFonts w:ascii="Century Schoolbook" w:eastAsia="Century Schoolbook" w:hAnsi="Century Schoolbook"/>
                <w:b/>
                <w:bCs/>
                <w:lang w:val="es-US"/>
              </w:rPr>
            </w:pPr>
            <w:r w:rsidRPr="009A0334">
              <w:rPr>
                <w:rFonts w:ascii="Century Schoolbook" w:eastAsia="Century Schoolbook" w:hAnsi="Century Schoolbook"/>
                <w:b/>
                <w:bCs/>
                <w:lang w:val="es-US"/>
              </w:rPr>
              <w:t>2004</w:t>
            </w:r>
          </w:p>
        </w:tc>
        <w:tc>
          <w:tcPr>
            <w:tcW w:w="1864" w:type="dxa"/>
          </w:tcPr>
          <w:p w14:paraId="73E8618C" w14:textId="77777777" w:rsidR="00833B10" w:rsidRPr="009A0334" w:rsidRDefault="00833B10" w:rsidP="00044B40">
            <w:pPr>
              <w:jc w:val="center"/>
              <w:rPr>
                <w:rFonts w:ascii="Century Schoolbook" w:eastAsia="Century Schoolbook" w:hAnsi="Century Schoolbook"/>
                <w:b/>
                <w:bCs/>
                <w:lang w:val="es-US"/>
              </w:rPr>
            </w:pPr>
            <w:r w:rsidRPr="009A0334">
              <w:rPr>
                <w:rFonts w:ascii="Century Schoolbook" w:eastAsia="Century Schoolbook" w:hAnsi="Century Schoolbook"/>
                <w:b/>
                <w:bCs/>
                <w:lang w:val="es-US"/>
              </w:rPr>
              <w:t>2024</w:t>
            </w:r>
          </w:p>
        </w:tc>
        <w:tc>
          <w:tcPr>
            <w:tcW w:w="1864" w:type="dxa"/>
          </w:tcPr>
          <w:p w14:paraId="34F31F30" w14:textId="77777777" w:rsidR="00833B10" w:rsidRPr="009A0334" w:rsidRDefault="00833B10" w:rsidP="00044B40">
            <w:pPr>
              <w:jc w:val="center"/>
              <w:rPr>
                <w:rFonts w:ascii="Century Schoolbook" w:eastAsia="Century Schoolbook" w:hAnsi="Century Schoolbook"/>
                <w:b/>
                <w:bCs/>
                <w:lang w:val="es-US"/>
              </w:rPr>
            </w:pPr>
            <w:r w:rsidRPr="009A0334">
              <w:rPr>
                <w:rFonts w:ascii="Century Schoolbook" w:eastAsia="Century Schoolbook" w:hAnsi="Century Schoolbook"/>
                <w:b/>
                <w:bCs/>
                <w:lang w:val="es-US"/>
              </w:rPr>
              <w:t>Total</w:t>
            </w:r>
          </w:p>
        </w:tc>
      </w:tr>
      <w:tr w:rsidR="00833B10" w:rsidRPr="009A0334" w14:paraId="29D954C0" w14:textId="77777777" w:rsidTr="00044B40">
        <w:trPr>
          <w:trHeight w:val="588"/>
        </w:trPr>
        <w:tc>
          <w:tcPr>
            <w:tcW w:w="3049" w:type="dxa"/>
          </w:tcPr>
          <w:p w14:paraId="19D0ED9C" w14:textId="77777777" w:rsidR="00833B10" w:rsidRPr="009A0334" w:rsidRDefault="00833B10" w:rsidP="00044B40">
            <w:pPr>
              <w:rPr>
                <w:rFonts w:ascii="Century Schoolbook" w:eastAsia="Century Schoolbook" w:hAnsi="Century Schoolbook"/>
                <w:lang w:val="es-US"/>
              </w:rPr>
            </w:pPr>
            <w:r w:rsidRPr="009A0334">
              <w:rPr>
                <w:rFonts w:ascii="Century Schoolbook" w:eastAsia="Century Schoolbook" w:hAnsi="Century Schoolbook"/>
                <w:lang w:val="es-US"/>
              </w:rPr>
              <w:t xml:space="preserve">Cantidad observaciones </w:t>
            </w:r>
          </w:p>
        </w:tc>
        <w:tc>
          <w:tcPr>
            <w:tcW w:w="1864" w:type="dxa"/>
          </w:tcPr>
          <w:p w14:paraId="7F383AA2" w14:textId="296F2AE1" w:rsidR="00833B10" w:rsidRPr="009A0334" w:rsidRDefault="00833B10" w:rsidP="00044B40">
            <w:pPr>
              <w:rPr>
                <w:rFonts w:ascii="Century Schoolbook" w:eastAsia="Century Schoolbook" w:hAnsi="Century Schoolbook"/>
                <w:lang w:val="es-US"/>
              </w:rPr>
            </w:pPr>
            <w:r w:rsidRPr="0008320D">
              <w:rPr>
                <w:rFonts w:ascii="Century Schoolbook" w:eastAsia="Century Schoolbook" w:hAnsi="Century Schoolbook"/>
                <w:lang w:val="es-US"/>
              </w:rPr>
              <w:t>45</w:t>
            </w:r>
            <w:r w:rsidR="00116559">
              <w:rPr>
                <w:rFonts w:ascii="Century Schoolbook" w:eastAsia="Century Schoolbook" w:hAnsi="Century Schoolbook"/>
                <w:lang w:val="es-US"/>
              </w:rPr>
              <w:t>.</w:t>
            </w:r>
            <w:r w:rsidRPr="0008320D">
              <w:rPr>
                <w:rFonts w:ascii="Century Schoolbook" w:eastAsia="Century Schoolbook" w:hAnsi="Century Schoolbook"/>
                <w:lang w:val="es-US"/>
              </w:rPr>
              <w:t>289</w:t>
            </w:r>
          </w:p>
        </w:tc>
        <w:tc>
          <w:tcPr>
            <w:tcW w:w="1864" w:type="dxa"/>
          </w:tcPr>
          <w:p w14:paraId="2B2E4533" w14:textId="04115ED1"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46</w:t>
            </w:r>
            <w:r w:rsidR="00116559">
              <w:rPr>
                <w:rFonts w:ascii="Century Schoolbook" w:eastAsia="Century Schoolbook" w:hAnsi="Century Schoolbook"/>
              </w:rPr>
              <w:t>.</w:t>
            </w:r>
            <w:r w:rsidRPr="0008320D">
              <w:rPr>
                <w:rFonts w:ascii="Century Schoolbook" w:eastAsia="Century Schoolbook" w:hAnsi="Century Schoolbook"/>
              </w:rPr>
              <w:t xml:space="preserve">050 </w:t>
            </w:r>
          </w:p>
          <w:p w14:paraId="2921822E" w14:textId="77777777" w:rsidR="00833B10" w:rsidRPr="009A0334" w:rsidRDefault="00833B10" w:rsidP="00044B40">
            <w:pPr>
              <w:rPr>
                <w:rFonts w:ascii="Century Schoolbook" w:eastAsia="Century Schoolbook" w:hAnsi="Century Schoolbook"/>
                <w:lang w:val="es-US"/>
              </w:rPr>
            </w:pPr>
          </w:p>
        </w:tc>
        <w:tc>
          <w:tcPr>
            <w:tcW w:w="1864" w:type="dxa"/>
          </w:tcPr>
          <w:p w14:paraId="058BF196" w14:textId="28CCC0FF"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91</w:t>
            </w:r>
            <w:r w:rsidR="00116559">
              <w:rPr>
                <w:rFonts w:ascii="Century Schoolbook" w:eastAsia="Century Schoolbook" w:hAnsi="Century Schoolbook"/>
              </w:rPr>
              <w:t>.</w:t>
            </w:r>
            <w:r w:rsidRPr="0008320D">
              <w:rPr>
                <w:rFonts w:ascii="Century Schoolbook" w:eastAsia="Century Schoolbook" w:hAnsi="Century Schoolbook"/>
              </w:rPr>
              <w:t xml:space="preserve">339 </w:t>
            </w:r>
          </w:p>
          <w:p w14:paraId="64BFB6EB" w14:textId="77777777" w:rsidR="00833B10" w:rsidRPr="009A0334" w:rsidRDefault="00833B10" w:rsidP="00044B40">
            <w:pPr>
              <w:rPr>
                <w:rFonts w:ascii="Century Schoolbook" w:eastAsia="Century Schoolbook" w:hAnsi="Century Schoolbook"/>
                <w:lang w:val="es-US"/>
              </w:rPr>
            </w:pPr>
          </w:p>
        </w:tc>
      </w:tr>
      <w:tr w:rsidR="00833B10" w:rsidRPr="001B4CE7" w14:paraId="210ABE19" w14:textId="77777777" w:rsidTr="00044B40">
        <w:trPr>
          <w:trHeight w:val="283"/>
        </w:trPr>
        <w:tc>
          <w:tcPr>
            <w:tcW w:w="3049" w:type="dxa"/>
          </w:tcPr>
          <w:p w14:paraId="11951B80" w14:textId="77777777" w:rsidR="00833B10" w:rsidRPr="009A0334" w:rsidRDefault="00833B10" w:rsidP="00044B40">
            <w:pPr>
              <w:rPr>
                <w:rFonts w:ascii="Century Schoolbook" w:eastAsia="Century Schoolbook" w:hAnsi="Century Schoolbook"/>
                <w:lang w:val="es-US"/>
              </w:rPr>
            </w:pPr>
            <w:r w:rsidRPr="009A0334">
              <w:rPr>
                <w:rFonts w:ascii="Century Schoolbook" w:eastAsia="Century Schoolbook" w:hAnsi="Century Schoolbook"/>
                <w:lang w:val="es-US"/>
              </w:rPr>
              <w:t xml:space="preserve">Cantidad de observaciones con </w:t>
            </w:r>
            <w:proofErr w:type="spellStart"/>
            <w:r w:rsidRPr="009A0334">
              <w:rPr>
                <w:rFonts w:ascii="Century Schoolbook" w:eastAsia="Century Schoolbook" w:hAnsi="Century Schoolbook"/>
                <w:lang w:val="es-US"/>
              </w:rPr>
              <w:t>Na</w:t>
            </w:r>
            <w:r>
              <w:rPr>
                <w:rFonts w:ascii="Century Schoolbook" w:eastAsia="Century Schoolbook" w:hAnsi="Century Schoolbook"/>
                <w:lang w:val="es-US"/>
              </w:rPr>
              <w:t>n</w:t>
            </w:r>
            <w:proofErr w:type="spellEnd"/>
            <w:r w:rsidRPr="009A0334">
              <w:rPr>
                <w:rFonts w:ascii="Century Schoolbook" w:eastAsia="Century Schoolbook" w:hAnsi="Century Schoolbook"/>
                <w:lang w:val="es-US"/>
              </w:rPr>
              <w:t xml:space="preserve"> en la variable “Estado”</w:t>
            </w:r>
          </w:p>
        </w:tc>
        <w:tc>
          <w:tcPr>
            <w:tcW w:w="1864" w:type="dxa"/>
          </w:tcPr>
          <w:p w14:paraId="204CB77F" w14:textId="77777777" w:rsidR="00833B10" w:rsidRDefault="00833B10" w:rsidP="00044B40">
            <w:pPr>
              <w:rPr>
                <w:rFonts w:ascii="Century Schoolbook" w:eastAsia="Century Schoolbook" w:hAnsi="Century Schoolbook"/>
                <w:lang w:val="es-US"/>
              </w:rPr>
            </w:pPr>
            <w:r>
              <w:rPr>
                <w:rFonts w:ascii="Century Schoolbook" w:eastAsia="Century Schoolbook" w:hAnsi="Century Schoolbook"/>
                <w:lang w:val="es-US"/>
              </w:rPr>
              <w:t>0</w:t>
            </w:r>
          </w:p>
          <w:p w14:paraId="3A284D3E" w14:textId="77777777" w:rsidR="00833B10" w:rsidRPr="009A0334" w:rsidRDefault="00833B10" w:rsidP="00044B40">
            <w:pPr>
              <w:rPr>
                <w:rFonts w:ascii="Century Schoolbook" w:eastAsia="Century Schoolbook" w:hAnsi="Century Schoolbook"/>
                <w:lang w:val="es-US"/>
              </w:rPr>
            </w:pPr>
          </w:p>
        </w:tc>
        <w:tc>
          <w:tcPr>
            <w:tcW w:w="1864" w:type="dxa"/>
          </w:tcPr>
          <w:p w14:paraId="37280FA7" w14:textId="77777777" w:rsidR="00833B10" w:rsidRDefault="00833B10" w:rsidP="00044B40">
            <w:pPr>
              <w:rPr>
                <w:rFonts w:ascii="Century Schoolbook" w:eastAsia="Century Schoolbook" w:hAnsi="Century Schoolbook"/>
                <w:lang w:val="es-US"/>
              </w:rPr>
            </w:pPr>
            <w:r>
              <w:rPr>
                <w:rFonts w:ascii="Century Schoolbook" w:eastAsia="Century Schoolbook" w:hAnsi="Century Schoolbook"/>
                <w:lang w:val="es-US"/>
              </w:rPr>
              <w:t>0</w:t>
            </w:r>
          </w:p>
          <w:p w14:paraId="16ED4220" w14:textId="77777777" w:rsidR="00833B10" w:rsidRPr="009A0334" w:rsidRDefault="00833B10" w:rsidP="00044B40">
            <w:pPr>
              <w:rPr>
                <w:rFonts w:ascii="Century Schoolbook" w:eastAsia="Century Schoolbook" w:hAnsi="Century Schoolbook"/>
                <w:lang w:val="es-US"/>
              </w:rPr>
            </w:pPr>
          </w:p>
        </w:tc>
        <w:tc>
          <w:tcPr>
            <w:tcW w:w="1864" w:type="dxa"/>
          </w:tcPr>
          <w:p w14:paraId="270E91E7" w14:textId="77777777" w:rsidR="00833B10" w:rsidRDefault="00833B10" w:rsidP="00044B40">
            <w:pPr>
              <w:rPr>
                <w:rFonts w:ascii="Century Schoolbook" w:eastAsia="Century Schoolbook" w:hAnsi="Century Schoolbook"/>
                <w:lang w:val="es-US"/>
              </w:rPr>
            </w:pPr>
            <w:r>
              <w:rPr>
                <w:rFonts w:ascii="Century Schoolbook" w:eastAsia="Century Schoolbook" w:hAnsi="Century Schoolbook"/>
                <w:lang w:val="es-US"/>
              </w:rPr>
              <w:t>0</w:t>
            </w:r>
          </w:p>
          <w:p w14:paraId="7500214F" w14:textId="77777777" w:rsidR="00833B10" w:rsidRPr="009A0334" w:rsidRDefault="00833B10" w:rsidP="00044B40">
            <w:pPr>
              <w:rPr>
                <w:rFonts w:ascii="Century Schoolbook" w:eastAsia="Century Schoolbook" w:hAnsi="Century Schoolbook"/>
                <w:lang w:val="es-US"/>
              </w:rPr>
            </w:pPr>
          </w:p>
        </w:tc>
      </w:tr>
      <w:tr w:rsidR="00833B10" w:rsidRPr="009A0334" w14:paraId="06E647BC" w14:textId="77777777" w:rsidTr="00044B40">
        <w:trPr>
          <w:trHeight w:val="283"/>
        </w:trPr>
        <w:tc>
          <w:tcPr>
            <w:tcW w:w="3049" w:type="dxa"/>
          </w:tcPr>
          <w:p w14:paraId="342B9C3A" w14:textId="77777777" w:rsidR="00833B10" w:rsidRPr="009A0334" w:rsidRDefault="00833B10" w:rsidP="00044B40">
            <w:pPr>
              <w:rPr>
                <w:rFonts w:ascii="Century Schoolbook" w:eastAsia="Century Schoolbook" w:hAnsi="Century Schoolbook"/>
                <w:lang w:val="es-US"/>
              </w:rPr>
            </w:pPr>
            <w:r w:rsidRPr="009A0334">
              <w:rPr>
                <w:rFonts w:ascii="Century Schoolbook" w:eastAsia="Century Schoolbook" w:hAnsi="Century Schoolbook"/>
                <w:lang w:val="es-US"/>
              </w:rPr>
              <w:t xml:space="preserve">Cantidad de Ocupados </w:t>
            </w:r>
          </w:p>
        </w:tc>
        <w:tc>
          <w:tcPr>
            <w:tcW w:w="1864" w:type="dxa"/>
          </w:tcPr>
          <w:p w14:paraId="08151A11" w14:textId="48874B34"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17</w:t>
            </w:r>
            <w:r w:rsidR="00116559">
              <w:rPr>
                <w:rFonts w:ascii="Century Schoolbook" w:eastAsia="Century Schoolbook" w:hAnsi="Century Schoolbook"/>
              </w:rPr>
              <w:t>.</w:t>
            </w:r>
            <w:r w:rsidRPr="0008320D">
              <w:rPr>
                <w:rFonts w:ascii="Century Schoolbook" w:eastAsia="Century Schoolbook" w:hAnsi="Century Schoolbook"/>
              </w:rPr>
              <w:t>022</w:t>
            </w:r>
          </w:p>
        </w:tc>
        <w:tc>
          <w:tcPr>
            <w:tcW w:w="1864" w:type="dxa"/>
          </w:tcPr>
          <w:p w14:paraId="2C95AC1C" w14:textId="02105B32"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20</w:t>
            </w:r>
            <w:r w:rsidR="00116559">
              <w:rPr>
                <w:rFonts w:ascii="Century Schoolbook" w:eastAsia="Century Schoolbook" w:hAnsi="Century Schoolbook"/>
              </w:rPr>
              <w:t>.</w:t>
            </w:r>
            <w:r w:rsidRPr="0008320D">
              <w:rPr>
                <w:rFonts w:ascii="Century Schoolbook" w:eastAsia="Century Schoolbook" w:hAnsi="Century Schoolbook"/>
              </w:rPr>
              <w:t xml:space="preserve">325 </w:t>
            </w:r>
          </w:p>
          <w:p w14:paraId="04F86EEA" w14:textId="77777777" w:rsidR="00833B10" w:rsidRPr="009A0334" w:rsidRDefault="00833B10" w:rsidP="00044B40">
            <w:pPr>
              <w:rPr>
                <w:rFonts w:ascii="Century Schoolbook" w:eastAsia="Century Schoolbook" w:hAnsi="Century Schoolbook"/>
                <w:lang w:val="es-US"/>
              </w:rPr>
            </w:pPr>
          </w:p>
        </w:tc>
        <w:tc>
          <w:tcPr>
            <w:tcW w:w="1864" w:type="dxa"/>
          </w:tcPr>
          <w:p w14:paraId="49C3B816" w14:textId="5214C682"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37</w:t>
            </w:r>
            <w:r w:rsidR="00116559">
              <w:rPr>
                <w:rFonts w:ascii="Century Schoolbook" w:eastAsia="Century Schoolbook" w:hAnsi="Century Schoolbook"/>
              </w:rPr>
              <w:t>.</w:t>
            </w:r>
            <w:r w:rsidRPr="0008320D">
              <w:rPr>
                <w:rFonts w:ascii="Century Schoolbook" w:eastAsia="Century Schoolbook" w:hAnsi="Century Schoolbook"/>
              </w:rPr>
              <w:t>347</w:t>
            </w:r>
          </w:p>
          <w:p w14:paraId="7479FCDB" w14:textId="77777777" w:rsidR="00833B10" w:rsidRPr="009A0334" w:rsidRDefault="00833B10" w:rsidP="00044B40">
            <w:pPr>
              <w:rPr>
                <w:rFonts w:ascii="Century Schoolbook" w:eastAsia="Century Schoolbook" w:hAnsi="Century Schoolbook"/>
                <w:lang w:val="es-US"/>
              </w:rPr>
            </w:pPr>
          </w:p>
        </w:tc>
      </w:tr>
      <w:tr w:rsidR="00833B10" w:rsidRPr="009A0334" w14:paraId="6F44DC4C" w14:textId="77777777" w:rsidTr="00044B40">
        <w:trPr>
          <w:trHeight w:val="283"/>
        </w:trPr>
        <w:tc>
          <w:tcPr>
            <w:tcW w:w="3049" w:type="dxa"/>
          </w:tcPr>
          <w:p w14:paraId="4B5AB99C" w14:textId="77777777" w:rsidR="00833B10" w:rsidRPr="009A0334" w:rsidRDefault="00833B10" w:rsidP="00044B40">
            <w:pPr>
              <w:rPr>
                <w:rFonts w:ascii="Century Schoolbook" w:eastAsia="Century Schoolbook" w:hAnsi="Century Schoolbook"/>
                <w:lang w:val="es-US"/>
              </w:rPr>
            </w:pPr>
            <w:r w:rsidRPr="009A0334">
              <w:rPr>
                <w:rFonts w:ascii="Century Schoolbook" w:eastAsia="Century Schoolbook" w:hAnsi="Century Schoolbook"/>
                <w:lang w:val="es-US"/>
              </w:rPr>
              <w:t>Cantidad de Desocupados</w:t>
            </w:r>
          </w:p>
        </w:tc>
        <w:tc>
          <w:tcPr>
            <w:tcW w:w="1864" w:type="dxa"/>
          </w:tcPr>
          <w:p w14:paraId="728F65FE" w14:textId="095CF305"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2</w:t>
            </w:r>
            <w:r w:rsidR="00116559">
              <w:rPr>
                <w:rFonts w:ascii="Century Schoolbook" w:eastAsia="Century Schoolbook" w:hAnsi="Century Schoolbook"/>
              </w:rPr>
              <w:t>.</w:t>
            </w:r>
            <w:r w:rsidRPr="0008320D">
              <w:rPr>
                <w:rFonts w:ascii="Century Schoolbook" w:eastAsia="Century Schoolbook" w:hAnsi="Century Schoolbook"/>
              </w:rPr>
              <w:t>717</w:t>
            </w:r>
          </w:p>
          <w:p w14:paraId="0248B6B1" w14:textId="77777777" w:rsidR="00833B10" w:rsidRPr="009A0334" w:rsidRDefault="00833B10" w:rsidP="00044B40">
            <w:pPr>
              <w:rPr>
                <w:rFonts w:ascii="Century Schoolbook" w:eastAsia="Century Schoolbook" w:hAnsi="Century Schoolbook"/>
                <w:lang w:val="es-US"/>
              </w:rPr>
            </w:pPr>
          </w:p>
        </w:tc>
        <w:tc>
          <w:tcPr>
            <w:tcW w:w="1864" w:type="dxa"/>
          </w:tcPr>
          <w:p w14:paraId="3A9549B1" w14:textId="4DE3CB3A"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1</w:t>
            </w:r>
            <w:r w:rsidR="00116559">
              <w:rPr>
                <w:rFonts w:ascii="Century Schoolbook" w:eastAsia="Century Schoolbook" w:hAnsi="Century Schoolbook"/>
              </w:rPr>
              <w:t>.</w:t>
            </w:r>
            <w:r w:rsidRPr="0008320D">
              <w:rPr>
                <w:rFonts w:ascii="Century Schoolbook" w:eastAsia="Century Schoolbook" w:hAnsi="Century Schoolbook"/>
              </w:rPr>
              <w:t>362</w:t>
            </w:r>
          </w:p>
          <w:p w14:paraId="0C38D749" w14:textId="77777777" w:rsidR="00833B10" w:rsidRPr="009A0334" w:rsidRDefault="00833B10" w:rsidP="00044B40">
            <w:pPr>
              <w:rPr>
                <w:rFonts w:ascii="Century Schoolbook" w:eastAsia="Century Schoolbook" w:hAnsi="Century Schoolbook"/>
                <w:lang w:val="es-US"/>
              </w:rPr>
            </w:pPr>
          </w:p>
        </w:tc>
        <w:tc>
          <w:tcPr>
            <w:tcW w:w="1864" w:type="dxa"/>
          </w:tcPr>
          <w:p w14:paraId="7BA7B6AD" w14:textId="36F843B1"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4</w:t>
            </w:r>
            <w:r w:rsidR="00116559">
              <w:rPr>
                <w:rFonts w:ascii="Century Schoolbook" w:eastAsia="Century Schoolbook" w:hAnsi="Century Schoolbook"/>
              </w:rPr>
              <w:t>.</w:t>
            </w:r>
            <w:r w:rsidRPr="0008320D">
              <w:rPr>
                <w:rFonts w:ascii="Century Schoolbook" w:eastAsia="Century Schoolbook" w:hAnsi="Century Schoolbook"/>
              </w:rPr>
              <w:t xml:space="preserve">079 </w:t>
            </w:r>
          </w:p>
          <w:p w14:paraId="6C17FCA9" w14:textId="77777777" w:rsidR="00833B10" w:rsidRPr="009A0334" w:rsidRDefault="00833B10" w:rsidP="00044B40">
            <w:pPr>
              <w:rPr>
                <w:rFonts w:ascii="Century Schoolbook" w:eastAsia="Century Schoolbook" w:hAnsi="Century Schoolbook"/>
                <w:lang w:val="es-US"/>
              </w:rPr>
            </w:pPr>
          </w:p>
        </w:tc>
      </w:tr>
      <w:tr w:rsidR="00833B10" w:rsidRPr="001B4CE7" w14:paraId="5E62699E" w14:textId="77777777" w:rsidTr="00044B40">
        <w:trPr>
          <w:trHeight w:val="283"/>
        </w:trPr>
        <w:tc>
          <w:tcPr>
            <w:tcW w:w="3049" w:type="dxa"/>
          </w:tcPr>
          <w:p w14:paraId="3FC44805" w14:textId="77777777" w:rsidR="00833B10" w:rsidRPr="009A0334" w:rsidRDefault="00833B10" w:rsidP="00044B40">
            <w:pPr>
              <w:rPr>
                <w:rFonts w:ascii="Century Schoolbook" w:eastAsia="Century Schoolbook" w:hAnsi="Century Schoolbook"/>
                <w:lang w:val="es-US"/>
              </w:rPr>
            </w:pPr>
            <w:r w:rsidRPr="009A0334">
              <w:rPr>
                <w:rFonts w:ascii="Century Schoolbook" w:eastAsia="Century Schoolbook" w:hAnsi="Century Schoolbook"/>
                <w:lang w:val="es-US"/>
              </w:rPr>
              <w:t>Cantidad de variables limpias y homogeneizadas</w:t>
            </w:r>
          </w:p>
        </w:tc>
        <w:tc>
          <w:tcPr>
            <w:tcW w:w="1864" w:type="dxa"/>
          </w:tcPr>
          <w:p w14:paraId="680BBDC2" w14:textId="77777777"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183</w:t>
            </w:r>
          </w:p>
          <w:p w14:paraId="257BA26E" w14:textId="77777777" w:rsidR="00833B10" w:rsidRPr="009A0334" w:rsidRDefault="00833B10" w:rsidP="00044B40">
            <w:pPr>
              <w:rPr>
                <w:rFonts w:ascii="Century Schoolbook" w:eastAsia="Century Schoolbook" w:hAnsi="Century Schoolbook"/>
                <w:lang w:val="es-US"/>
              </w:rPr>
            </w:pPr>
          </w:p>
        </w:tc>
        <w:tc>
          <w:tcPr>
            <w:tcW w:w="1864" w:type="dxa"/>
          </w:tcPr>
          <w:p w14:paraId="13131F78" w14:textId="77777777"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183</w:t>
            </w:r>
          </w:p>
          <w:p w14:paraId="5FAAF956" w14:textId="77777777" w:rsidR="00833B10" w:rsidRPr="009A0334" w:rsidRDefault="00833B10" w:rsidP="00044B40">
            <w:pPr>
              <w:rPr>
                <w:rFonts w:ascii="Century Schoolbook" w:eastAsia="Century Schoolbook" w:hAnsi="Century Schoolbook"/>
                <w:lang w:val="es-US"/>
              </w:rPr>
            </w:pPr>
          </w:p>
        </w:tc>
        <w:tc>
          <w:tcPr>
            <w:tcW w:w="1864" w:type="dxa"/>
          </w:tcPr>
          <w:p w14:paraId="3D2C41AB" w14:textId="77777777" w:rsidR="00833B10" w:rsidRPr="0008320D" w:rsidRDefault="00833B10" w:rsidP="00044B40">
            <w:pPr>
              <w:rPr>
                <w:rFonts w:ascii="Century Schoolbook" w:eastAsia="Century Schoolbook" w:hAnsi="Century Schoolbook"/>
              </w:rPr>
            </w:pPr>
            <w:r w:rsidRPr="0008320D">
              <w:rPr>
                <w:rFonts w:ascii="Century Schoolbook" w:eastAsia="Century Schoolbook" w:hAnsi="Century Schoolbook"/>
              </w:rPr>
              <w:t>183</w:t>
            </w:r>
          </w:p>
          <w:p w14:paraId="65E00666" w14:textId="77777777" w:rsidR="00833B10" w:rsidRPr="009A0334" w:rsidRDefault="00833B10" w:rsidP="00044B40">
            <w:pPr>
              <w:rPr>
                <w:rFonts w:ascii="Century Schoolbook" w:eastAsia="Century Schoolbook" w:hAnsi="Century Schoolbook"/>
                <w:lang w:val="es-US"/>
              </w:rPr>
            </w:pPr>
          </w:p>
        </w:tc>
      </w:tr>
    </w:tbl>
    <w:p w14:paraId="3EEC4089" w14:textId="77777777" w:rsidR="00981696" w:rsidRPr="00981696" w:rsidRDefault="00981696" w:rsidP="00981696">
      <w:pPr>
        <w:rPr>
          <w:rFonts w:ascii="Segoe UI Emoji" w:hAnsi="Segoe UI Emoji" w:cs="Segoe UI Emoji"/>
          <w:b/>
          <w:bCs/>
        </w:rPr>
      </w:pPr>
    </w:p>
    <w:p w14:paraId="366207FF" w14:textId="517DD3FA" w:rsidR="008D54E8" w:rsidRPr="003A1EB5" w:rsidRDefault="003A1EB5" w:rsidP="00250792">
      <w:pPr>
        <w:rPr>
          <w:b/>
          <w:bCs/>
          <w:sz w:val="36"/>
          <w:szCs w:val="36"/>
          <w:u w:val="single"/>
        </w:rPr>
      </w:pPr>
      <w:r w:rsidRPr="003A1EB5">
        <w:rPr>
          <w:b/>
          <w:bCs/>
          <w:sz w:val="36"/>
          <w:szCs w:val="36"/>
          <w:highlight w:val="darkMagenta"/>
          <w:u w:val="single"/>
        </w:rPr>
        <w:t>PARTE 2</w:t>
      </w:r>
      <w:r w:rsidRPr="003A1EB5">
        <w:rPr>
          <w:b/>
          <w:bCs/>
          <w:sz w:val="36"/>
          <w:szCs w:val="36"/>
          <w:u w:val="single"/>
        </w:rPr>
        <w:t xml:space="preserve"> </w:t>
      </w:r>
    </w:p>
    <w:p w14:paraId="5421871C" w14:textId="475EC4C5" w:rsidR="003A1EB5" w:rsidRDefault="003A1EB5" w:rsidP="00250792">
      <w:pPr>
        <w:rPr>
          <w:sz w:val="32"/>
          <w:szCs w:val="32"/>
          <w:highlight w:val="cyan"/>
        </w:rPr>
      </w:pPr>
      <w:r>
        <w:rPr>
          <w:sz w:val="32"/>
          <w:szCs w:val="32"/>
          <w:highlight w:val="cyan"/>
        </w:rPr>
        <w:t>Punto 1:</w:t>
      </w:r>
    </w:p>
    <w:p w14:paraId="46AAF86E" w14:textId="77777777" w:rsidR="00EC3556" w:rsidRPr="00EC3556" w:rsidRDefault="00EC3556" w:rsidP="00EC3556">
      <w:r w:rsidRPr="00EC3556">
        <w:t>El análisis de la matriz de correlación muestra las relaciones entre variables clave como edad, edad al cuadrado (edad2), educación (</w:t>
      </w:r>
      <w:proofErr w:type="spellStart"/>
      <w:r w:rsidRPr="00EC3556">
        <w:t>educ</w:t>
      </w:r>
      <w:proofErr w:type="spellEnd"/>
      <w:r w:rsidRPr="00EC3556">
        <w:t>), salario semanal (</w:t>
      </w:r>
      <w:proofErr w:type="spellStart"/>
      <w:r w:rsidRPr="00EC3556">
        <w:t>salario_semanal</w:t>
      </w:r>
      <w:proofErr w:type="spellEnd"/>
      <w:r w:rsidRPr="00EC3556">
        <w:t>) y horas trabajadas (</w:t>
      </w:r>
      <w:proofErr w:type="spellStart"/>
      <w:r w:rsidRPr="00EC3556">
        <w:t>horastrab</w:t>
      </w:r>
      <w:proofErr w:type="spellEnd"/>
      <w:r w:rsidRPr="00EC3556">
        <w:t>).</w:t>
      </w:r>
    </w:p>
    <w:p w14:paraId="280973DF" w14:textId="2FBC1B3C" w:rsidR="00EC3556" w:rsidRPr="00EC3556" w:rsidRDefault="00EC3556" w:rsidP="00EC3556">
      <w:r w:rsidRPr="00EC3556">
        <w:rPr>
          <w:rFonts w:ascii="Segoe UI Emoji" w:hAnsi="Segoe UI Emoji" w:cs="Segoe UI Emoji"/>
        </w:rPr>
        <w:t>🔹</w:t>
      </w:r>
      <w:r w:rsidRPr="00EC3556">
        <w:t xml:space="preserve"> Interpretación de los resultados:</w:t>
      </w:r>
      <w:r w:rsidRPr="00EC3556">
        <w:br/>
      </w:r>
      <w:r w:rsidRPr="00EC3556">
        <w:rPr>
          <w:b/>
          <w:bCs/>
        </w:rPr>
        <w:t>Edad y Edad² (edad y edad2)</w:t>
      </w:r>
      <w:r w:rsidRPr="00EC3556">
        <w:t xml:space="preserve"> → Como era de esperar, tienen una correlación casi perfecta (0.96), lo que confirma que edad2 simplemente amplifica la variabilidad de edad.</w:t>
      </w:r>
    </w:p>
    <w:p w14:paraId="0DAEF8AC" w14:textId="6EDDBF19" w:rsidR="00EC3556" w:rsidRPr="00EC3556" w:rsidRDefault="00EC3556" w:rsidP="00EC3556">
      <w:r w:rsidRPr="00EC3556">
        <w:rPr>
          <w:b/>
          <w:bCs/>
        </w:rPr>
        <w:t>Educación (</w:t>
      </w:r>
      <w:proofErr w:type="spellStart"/>
      <w:r w:rsidRPr="00EC3556">
        <w:rPr>
          <w:b/>
          <w:bCs/>
        </w:rPr>
        <w:t>educ</w:t>
      </w:r>
      <w:proofErr w:type="spellEnd"/>
      <w:r w:rsidRPr="00EC3556">
        <w:rPr>
          <w:b/>
          <w:bCs/>
        </w:rPr>
        <w:t>) y Salario Semanal (</w:t>
      </w:r>
      <w:proofErr w:type="spellStart"/>
      <w:r w:rsidRPr="00EC3556">
        <w:rPr>
          <w:b/>
          <w:bCs/>
        </w:rPr>
        <w:t>salario_semanal</w:t>
      </w:r>
      <w:proofErr w:type="spellEnd"/>
      <w:r w:rsidRPr="00EC3556">
        <w:rPr>
          <w:b/>
          <w:bCs/>
        </w:rPr>
        <w:t>)</w:t>
      </w:r>
      <w:r w:rsidRPr="00EC3556">
        <w:t xml:space="preserve"> → Hay una correlación positiva (0.12), lo que sugiere que más educación está asociada con salarios más altos, aunque la relación no es extremadamente fuerte.</w:t>
      </w:r>
    </w:p>
    <w:p w14:paraId="0C869CFA" w14:textId="06ED47B3" w:rsidR="00EC3556" w:rsidRPr="00EC3556" w:rsidRDefault="00EC3556" w:rsidP="00EC3556">
      <w:r w:rsidRPr="00EC3556">
        <w:rPr>
          <w:b/>
          <w:bCs/>
        </w:rPr>
        <w:lastRenderedPageBreak/>
        <w:t>Horas trabajadas (</w:t>
      </w:r>
      <w:proofErr w:type="spellStart"/>
      <w:r w:rsidRPr="00EC3556">
        <w:rPr>
          <w:b/>
          <w:bCs/>
        </w:rPr>
        <w:t>horastrab</w:t>
      </w:r>
      <w:proofErr w:type="spellEnd"/>
      <w:r w:rsidRPr="00EC3556">
        <w:rPr>
          <w:b/>
          <w:bCs/>
        </w:rPr>
        <w:t>) y Salario Semanal (</w:t>
      </w:r>
      <w:proofErr w:type="spellStart"/>
      <w:r w:rsidRPr="00EC3556">
        <w:rPr>
          <w:b/>
          <w:bCs/>
        </w:rPr>
        <w:t>salario_semanal</w:t>
      </w:r>
      <w:proofErr w:type="spellEnd"/>
      <w:r w:rsidRPr="00EC3556">
        <w:rPr>
          <w:b/>
          <w:bCs/>
        </w:rPr>
        <w:t>)</w:t>
      </w:r>
      <w:r w:rsidRPr="00EC3556">
        <w:t xml:space="preserve"> → Presentan una correlación moderada (0.24). Esto significa que quienes trabajan más horas tienden a recibir un salario mayor, pero no es la única variable influyente.</w:t>
      </w:r>
    </w:p>
    <w:p w14:paraId="2340E908" w14:textId="09F5DAD3" w:rsidR="00EC3556" w:rsidRPr="00EC3556" w:rsidRDefault="00EC3556" w:rsidP="00EC3556">
      <w:r w:rsidRPr="00EC3556">
        <w:t>Edad y Horas Trabajadas → La correlación es muy baja (0.06), indicando que la edad no influye significativamente en la cantidad de horas trabajadas, al menos en este conjunto de datos.</w:t>
      </w:r>
    </w:p>
    <w:p w14:paraId="328073CD" w14:textId="486FEA8F" w:rsidR="00EC3556" w:rsidRPr="0077241A" w:rsidRDefault="00EC3556" w:rsidP="00EC3556">
      <w:r w:rsidRPr="00EC3556">
        <w:rPr>
          <w:rFonts w:ascii="Segoe UI Emoji" w:hAnsi="Segoe UI Emoji" w:cs="Segoe UI Emoji"/>
          <w:b/>
          <w:bCs/>
        </w:rPr>
        <w:t>📌</w:t>
      </w:r>
      <w:r w:rsidRPr="00EC3556">
        <w:rPr>
          <w:b/>
          <w:bCs/>
        </w:rPr>
        <w:t xml:space="preserve"> Conclusión:</w:t>
      </w:r>
      <w:r w:rsidRPr="00EC3556">
        <w:br/>
        <w:t>El análisis confirma algunas relaciones esperadas, como la influencia de la educación en el salario y la relación entre edad y edad². Sin embargo, las correlaciones no son extremadamente fuertes, lo que indica que otros factores también juegan un papel importante en los ingresos y horas</w:t>
      </w:r>
      <w:r w:rsidRPr="0077241A">
        <w:t xml:space="preserve"> </w:t>
      </w:r>
      <w:r w:rsidRPr="00EC3556">
        <w:t>de trabajo.</w:t>
      </w:r>
      <w:r w:rsidRPr="00EC3556">
        <w:t xml:space="preserve"> </w:t>
      </w:r>
    </w:p>
    <w:p w14:paraId="0C3892F4" w14:textId="6294DCEA" w:rsidR="00EC3556" w:rsidRPr="00EC3556" w:rsidRDefault="00EC3556" w:rsidP="00EC3556">
      <w:pPr>
        <w:rPr>
          <w:sz w:val="32"/>
          <w:szCs w:val="32"/>
        </w:rPr>
      </w:pPr>
      <w:r w:rsidRPr="00EC3556">
        <w:t xml:space="preserve"> </w:t>
      </w:r>
    </w:p>
    <w:p w14:paraId="27307129" w14:textId="77777777" w:rsidR="00EC3556" w:rsidRDefault="00EC3556" w:rsidP="00250792">
      <w:pPr>
        <w:rPr>
          <w:sz w:val="32"/>
          <w:szCs w:val="32"/>
          <w:highlight w:val="cyan"/>
        </w:rPr>
      </w:pPr>
      <w:r>
        <w:rPr>
          <w:noProof/>
        </w:rPr>
        <w:drawing>
          <wp:inline distT="0" distB="0" distL="0" distR="0" wp14:anchorId="496B53F5" wp14:editId="159D52E7">
            <wp:extent cx="3681454" cy="2178050"/>
            <wp:effectExtent l="0" t="0" r="0" b="0"/>
            <wp:docPr id="212160500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2834" cy="2196615"/>
                    </a:xfrm>
                    <a:prstGeom prst="rect">
                      <a:avLst/>
                    </a:prstGeom>
                    <a:noFill/>
                    <a:ln>
                      <a:noFill/>
                    </a:ln>
                  </pic:spPr>
                </pic:pic>
              </a:graphicData>
            </a:graphic>
          </wp:inline>
        </w:drawing>
      </w:r>
    </w:p>
    <w:p w14:paraId="0BFE5FBC" w14:textId="4C95BAEA" w:rsidR="00250792" w:rsidRPr="00EC3556" w:rsidRDefault="003A1EB5" w:rsidP="00250792">
      <w:pPr>
        <w:rPr>
          <w:sz w:val="32"/>
          <w:szCs w:val="32"/>
          <w:highlight w:val="cyan"/>
        </w:rPr>
      </w:pPr>
      <w:r w:rsidRPr="003A1EB5">
        <w:rPr>
          <w:sz w:val="32"/>
          <w:szCs w:val="32"/>
          <w:highlight w:val="cyan"/>
        </w:rPr>
        <w:t>Punto 2:</w:t>
      </w:r>
    </w:p>
    <w:p w14:paraId="0E1B3D60" w14:textId="77777777" w:rsidR="003A1EB5" w:rsidRPr="003A1EB5" w:rsidRDefault="003A1EB5" w:rsidP="003A1EB5">
      <w:r w:rsidRPr="003A1EB5">
        <w:t xml:space="preserve">El gráfico muestra los </w:t>
      </w:r>
      <w:r w:rsidRPr="003A1EB5">
        <w:rPr>
          <w:b/>
          <w:bCs/>
        </w:rPr>
        <w:t>índices calculados del PCA</w:t>
      </w:r>
      <w:r w:rsidRPr="003A1EB5">
        <w:t xml:space="preserve">, comparando el </w:t>
      </w:r>
      <w:r w:rsidRPr="003A1EB5">
        <w:rPr>
          <w:b/>
          <w:bCs/>
        </w:rPr>
        <w:t>Primer Componente Principal (PC1)</w:t>
      </w:r>
      <w:r w:rsidRPr="003A1EB5">
        <w:t xml:space="preserve"> en el eje X y el </w:t>
      </w:r>
      <w:r w:rsidRPr="003A1EB5">
        <w:rPr>
          <w:b/>
          <w:bCs/>
        </w:rPr>
        <w:t>Segundo Componente Principal (PC2)</w:t>
      </w:r>
      <w:r w:rsidRPr="003A1EB5">
        <w:t xml:space="preserve"> en el eje Y.</w:t>
      </w:r>
    </w:p>
    <w:p w14:paraId="460E322A" w14:textId="77777777" w:rsidR="003A1EB5" w:rsidRPr="003A1EB5" w:rsidRDefault="003A1EB5" w:rsidP="003A1EB5">
      <w:r w:rsidRPr="003A1EB5">
        <w:rPr>
          <w:rFonts w:ascii="Segoe UI Emoji" w:hAnsi="Segoe UI Emoji" w:cs="Segoe UI Emoji"/>
        </w:rPr>
        <w:t>📌</w:t>
      </w:r>
      <w:r w:rsidRPr="003A1EB5">
        <w:t xml:space="preserve"> </w:t>
      </w:r>
      <w:r w:rsidRPr="003A1EB5">
        <w:rPr>
          <w:b/>
          <w:bCs/>
        </w:rPr>
        <w:t>Análisis de la distribución:</w:t>
      </w:r>
    </w:p>
    <w:p w14:paraId="29A74821" w14:textId="77777777" w:rsidR="003A1EB5" w:rsidRPr="003A1EB5" w:rsidRDefault="003A1EB5" w:rsidP="003A1EB5">
      <w:pPr>
        <w:numPr>
          <w:ilvl w:val="0"/>
          <w:numId w:val="14"/>
        </w:numPr>
      </w:pPr>
      <w:r w:rsidRPr="003A1EB5">
        <w:t>La mayoría de los puntos están concentrados cerca del origen, lo que sugiere que muchas observaciones tienen valores bajos en ambos componentes.</w:t>
      </w:r>
    </w:p>
    <w:p w14:paraId="1186EFC9" w14:textId="77777777" w:rsidR="003A1EB5" w:rsidRPr="003A1EB5" w:rsidRDefault="003A1EB5" w:rsidP="003A1EB5">
      <w:pPr>
        <w:numPr>
          <w:ilvl w:val="0"/>
          <w:numId w:val="14"/>
        </w:numPr>
      </w:pPr>
      <w:r w:rsidRPr="003A1EB5">
        <w:t xml:space="preserve">Algunos puntos se extienden hacia la derecha (valores altos en PC1) y hacia abajo (valores negativos en PC2), lo que podría indicar la presencia de </w:t>
      </w:r>
      <w:r w:rsidRPr="003A1EB5">
        <w:rPr>
          <w:b/>
          <w:bCs/>
        </w:rPr>
        <w:t>grupos diferenciados</w:t>
      </w:r>
      <w:r w:rsidRPr="003A1EB5">
        <w:t xml:space="preserve"> o </w:t>
      </w:r>
      <w:proofErr w:type="spellStart"/>
      <w:r w:rsidRPr="003A1EB5">
        <w:rPr>
          <w:b/>
          <w:bCs/>
        </w:rPr>
        <w:t>outliers</w:t>
      </w:r>
      <w:proofErr w:type="spellEnd"/>
      <w:r w:rsidRPr="003A1EB5">
        <w:t xml:space="preserve"> en los datos.</w:t>
      </w:r>
    </w:p>
    <w:p w14:paraId="00A9A4AD" w14:textId="4495FC87" w:rsidR="003A1EB5" w:rsidRPr="003A1EB5" w:rsidRDefault="003A1EB5" w:rsidP="003A1EB5">
      <w:pPr>
        <w:numPr>
          <w:ilvl w:val="0"/>
          <w:numId w:val="14"/>
        </w:numPr>
      </w:pPr>
      <w:r w:rsidRPr="003A1EB5">
        <w:lastRenderedPageBreak/>
        <w:t>La amplitud en los ejes sugiere que PC1 tiene una mayor variabilidad en comparación con PC2.</w:t>
      </w:r>
      <w:r w:rsidRPr="003A1EB5">
        <w:t xml:space="preserve"> </w:t>
      </w:r>
      <w:r>
        <w:rPr>
          <w:noProof/>
        </w:rPr>
        <w:drawing>
          <wp:inline distT="0" distB="0" distL="0" distR="0" wp14:anchorId="117F99DC" wp14:editId="27D3262C">
            <wp:extent cx="5026750" cy="3943847"/>
            <wp:effectExtent l="0" t="0" r="2540" b="0"/>
            <wp:docPr id="9532067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022" cy="3953475"/>
                    </a:xfrm>
                    <a:prstGeom prst="rect">
                      <a:avLst/>
                    </a:prstGeom>
                    <a:noFill/>
                    <a:ln>
                      <a:noFill/>
                    </a:ln>
                  </pic:spPr>
                </pic:pic>
              </a:graphicData>
            </a:graphic>
          </wp:inline>
        </w:drawing>
      </w:r>
    </w:p>
    <w:p w14:paraId="4B9E85CB" w14:textId="77777777" w:rsidR="00EC3556" w:rsidRDefault="00EC3556" w:rsidP="00250792">
      <w:pPr>
        <w:rPr>
          <w:highlight w:val="cyan"/>
        </w:rPr>
      </w:pPr>
    </w:p>
    <w:p w14:paraId="0878ED67" w14:textId="77777777" w:rsidR="00EC3556" w:rsidRDefault="00EC3556" w:rsidP="00250792">
      <w:pPr>
        <w:rPr>
          <w:highlight w:val="cyan"/>
        </w:rPr>
      </w:pPr>
    </w:p>
    <w:p w14:paraId="607E8776" w14:textId="77777777" w:rsidR="00EC3556" w:rsidRDefault="00EC3556" w:rsidP="00250792">
      <w:pPr>
        <w:rPr>
          <w:highlight w:val="cyan"/>
        </w:rPr>
      </w:pPr>
    </w:p>
    <w:p w14:paraId="6307FD36" w14:textId="77777777" w:rsidR="00EC3556" w:rsidRDefault="00EC3556" w:rsidP="00250792">
      <w:pPr>
        <w:rPr>
          <w:highlight w:val="cyan"/>
        </w:rPr>
      </w:pPr>
    </w:p>
    <w:p w14:paraId="0C3EFA3A" w14:textId="711F90EE" w:rsidR="003A1EB5" w:rsidRPr="00250792" w:rsidRDefault="00EC3556" w:rsidP="00250792">
      <w:r w:rsidRPr="00EC3556">
        <w:rPr>
          <w:highlight w:val="cyan"/>
        </w:rPr>
        <w:t>PUNTO 3:</w:t>
      </w:r>
      <w:r>
        <w:t xml:space="preserve"> </w:t>
      </w:r>
    </w:p>
    <w:p w14:paraId="2F077588" w14:textId="77777777" w:rsidR="00EC3556" w:rsidRPr="00EC3556" w:rsidRDefault="00EC3556" w:rsidP="00EC3556">
      <w:r w:rsidRPr="00EC3556">
        <w:t xml:space="preserve">El gráfico de </w:t>
      </w:r>
      <w:r w:rsidRPr="00EC3556">
        <w:rPr>
          <w:b/>
          <w:bCs/>
        </w:rPr>
        <w:t>Componentes Principales (PCA)</w:t>
      </w:r>
      <w:r w:rsidRPr="00EC3556">
        <w:t xml:space="preserve"> ilustra la relación entre las variables edad², </w:t>
      </w:r>
      <w:proofErr w:type="spellStart"/>
      <w:r w:rsidRPr="00EC3556">
        <w:t>educ</w:t>
      </w:r>
      <w:proofErr w:type="spellEnd"/>
      <w:r w:rsidRPr="00EC3556">
        <w:t xml:space="preserve">, </w:t>
      </w:r>
      <w:proofErr w:type="spellStart"/>
      <w:r w:rsidRPr="00EC3556">
        <w:t>horastrab</w:t>
      </w:r>
      <w:proofErr w:type="spellEnd"/>
      <w:r w:rsidRPr="00EC3556">
        <w:t xml:space="preserve"> y </w:t>
      </w:r>
      <w:proofErr w:type="spellStart"/>
      <w:r w:rsidRPr="00EC3556">
        <w:t>salario_semanal</w:t>
      </w:r>
      <w:proofErr w:type="spellEnd"/>
      <w:r w:rsidRPr="00EC3556">
        <w:t xml:space="preserve"> con los dos primeros componentes principales (PC1 y PC2).</w:t>
      </w:r>
    </w:p>
    <w:p w14:paraId="3BF56A8C" w14:textId="543B10B3" w:rsidR="00EC3556" w:rsidRPr="00EC3556" w:rsidRDefault="00EC3556" w:rsidP="00EC3556">
      <w:r w:rsidRPr="00EC3556">
        <w:rPr>
          <w:b/>
          <w:bCs/>
        </w:rPr>
        <w:t>Relación entre variables</w:t>
      </w:r>
      <w:r w:rsidRPr="00EC3556">
        <w:t xml:space="preserve"> →</w:t>
      </w:r>
    </w:p>
    <w:p w14:paraId="510542C4" w14:textId="77777777" w:rsidR="00EC3556" w:rsidRPr="00EC3556" w:rsidRDefault="00EC3556" w:rsidP="00EC3556">
      <w:pPr>
        <w:numPr>
          <w:ilvl w:val="0"/>
          <w:numId w:val="16"/>
        </w:numPr>
      </w:pPr>
      <w:proofErr w:type="spellStart"/>
      <w:r w:rsidRPr="00EC3556">
        <w:t>educ</w:t>
      </w:r>
      <w:proofErr w:type="spellEnd"/>
      <w:r w:rsidRPr="00EC3556">
        <w:t xml:space="preserve"> y </w:t>
      </w:r>
      <w:proofErr w:type="spellStart"/>
      <w:r w:rsidRPr="00EC3556">
        <w:t>salario_semanal</w:t>
      </w:r>
      <w:proofErr w:type="spellEnd"/>
      <w:r w:rsidRPr="00EC3556">
        <w:t xml:space="preserve"> tienen una orientación similar, lo que sugiere que están </w:t>
      </w:r>
      <w:r w:rsidRPr="00EC3556">
        <w:rPr>
          <w:b/>
          <w:bCs/>
        </w:rPr>
        <w:t>correlacionadas en este espacio de PCA</w:t>
      </w:r>
      <w:r w:rsidRPr="00EC3556">
        <w:t>.</w:t>
      </w:r>
    </w:p>
    <w:p w14:paraId="51DF4519" w14:textId="77777777" w:rsidR="00EC3556" w:rsidRPr="00EC3556" w:rsidRDefault="00EC3556" w:rsidP="00EC3556">
      <w:pPr>
        <w:numPr>
          <w:ilvl w:val="0"/>
          <w:numId w:val="16"/>
        </w:numPr>
      </w:pPr>
      <w:r w:rsidRPr="00EC3556">
        <w:t xml:space="preserve">edad² apunta en una dirección diferente a </w:t>
      </w:r>
      <w:proofErr w:type="spellStart"/>
      <w:r w:rsidRPr="00EC3556">
        <w:t>horastrab</w:t>
      </w:r>
      <w:proofErr w:type="spellEnd"/>
      <w:r w:rsidRPr="00EC3556">
        <w:t>, lo que podría indicar que la edad cuadrática tiene un comportamiento distinto respecto al tiempo trabajado.</w:t>
      </w:r>
    </w:p>
    <w:p w14:paraId="4492644A" w14:textId="0B11385A" w:rsidR="00D02AB4" w:rsidRDefault="0077241A">
      <w:r>
        <w:rPr>
          <w:noProof/>
        </w:rPr>
        <w:lastRenderedPageBreak/>
        <w:drawing>
          <wp:inline distT="0" distB="0" distL="0" distR="0" wp14:anchorId="3DC41CCD" wp14:editId="27241D9B">
            <wp:extent cx="5400040" cy="4091940"/>
            <wp:effectExtent l="0" t="0" r="0" b="3810"/>
            <wp:docPr id="76044944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4091940"/>
                    </a:xfrm>
                    <a:prstGeom prst="rect">
                      <a:avLst/>
                    </a:prstGeom>
                    <a:noFill/>
                    <a:ln>
                      <a:noFill/>
                    </a:ln>
                  </pic:spPr>
                </pic:pic>
              </a:graphicData>
            </a:graphic>
          </wp:inline>
        </w:drawing>
      </w:r>
    </w:p>
    <w:p w14:paraId="0357F41F" w14:textId="77777777" w:rsidR="0077241A" w:rsidRDefault="0077241A"/>
    <w:p w14:paraId="214532FA" w14:textId="77777777" w:rsidR="0077241A" w:rsidRDefault="0077241A"/>
    <w:p w14:paraId="7543F151" w14:textId="77777777" w:rsidR="0077241A" w:rsidRDefault="0077241A"/>
    <w:p w14:paraId="3792EFB0" w14:textId="77777777" w:rsidR="0077241A" w:rsidRDefault="0077241A"/>
    <w:p w14:paraId="34E84B8C" w14:textId="77777777" w:rsidR="0077241A" w:rsidRDefault="0077241A"/>
    <w:p w14:paraId="7BC25F27" w14:textId="77777777" w:rsidR="0077241A" w:rsidRDefault="0077241A"/>
    <w:p w14:paraId="0B137753" w14:textId="4EA71AF7" w:rsidR="00C16429" w:rsidRDefault="0077241A">
      <w:r w:rsidRPr="0077241A">
        <w:rPr>
          <w:highlight w:val="cyan"/>
        </w:rPr>
        <w:t>PUNTO 4:</w:t>
      </w:r>
    </w:p>
    <w:p w14:paraId="5F3F89D3" w14:textId="77777777" w:rsidR="0077241A" w:rsidRPr="0077241A" w:rsidRDefault="0077241A" w:rsidP="0077241A">
      <w:r w:rsidRPr="0077241A">
        <w:t xml:space="preserve">El gráfico muestra la </w:t>
      </w:r>
      <w:r w:rsidRPr="0077241A">
        <w:rPr>
          <w:b/>
          <w:bCs/>
        </w:rPr>
        <w:t>proporción de varianza explicada</w:t>
      </w:r>
      <w:r w:rsidRPr="0077241A">
        <w:t xml:space="preserve"> por cada componente principal en el </w:t>
      </w:r>
      <w:r w:rsidRPr="0077241A">
        <w:rPr>
          <w:b/>
          <w:bCs/>
        </w:rPr>
        <w:t>PCA (Análisis de Componentes Principales)</w:t>
      </w:r>
      <w:r w:rsidRPr="0077241A">
        <w:t>.</w:t>
      </w:r>
    </w:p>
    <w:p w14:paraId="239749EE" w14:textId="5AD9F8A5" w:rsidR="0077241A" w:rsidRPr="0077241A" w:rsidRDefault="0077241A" w:rsidP="0077241A">
      <w:r w:rsidRPr="0077241A">
        <w:rPr>
          <w:rFonts w:ascii="Segoe UI Emoji" w:hAnsi="Segoe UI Emoji" w:cs="Segoe UI Emoji"/>
        </w:rPr>
        <w:t>📊</w:t>
      </w:r>
      <w:r w:rsidRPr="0077241A">
        <w:t xml:space="preserve"> </w:t>
      </w:r>
      <w:r w:rsidRPr="0077241A">
        <w:rPr>
          <w:b/>
          <w:bCs/>
        </w:rPr>
        <w:t>Interpretación de los resultados:</w:t>
      </w:r>
      <w:r w:rsidRPr="0077241A">
        <w:br/>
      </w:r>
      <w:r w:rsidRPr="0077241A">
        <w:rPr>
          <w:b/>
          <w:bCs/>
        </w:rPr>
        <w:t>Componente 1:</w:t>
      </w:r>
      <w:r w:rsidRPr="0077241A">
        <w:t xml:space="preserve"> Explica aproximadamente </w:t>
      </w:r>
      <w:r w:rsidRPr="0077241A">
        <w:rPr>
          <w:b/>
          <w:bCs/>
        </w:rPr>
        <w:t>34%</w:t>
      </w:r>
      <w:r w:rsidRPr="0077241A">
        <w:t xml:space="preserve"> de la variabilidad total de los datos. Esto indica que este primer componente captura la mayor parte de la información presente en las variables originales.</w:t>
      </w:r>
      <w:r w:rsidRPr="0077241A">
        <w:br/>
      </w:r>
      <w:r w:rsidRPr="0077241A">
        <w:rPr>
          <w:b/>
          <w:bCs/>
        </w:rPr>
        <w:t>Componente 2:</w:t>
      </w:r>
      <w:r w:rsidRPr="0077241A">
        <w:t xml:space="preserve"> Explica aproximadamente </w:t>
      </w:r>
      <w:r w:rsidRPr="0077241A">
        <w:rPr>
          <w:b/>
          <w:bCs/>
        </w:rPr>
        <w:t>29%</w:t>
      </w:r>
      <w:r w:rsidRPr="0077241A">
        <w:t xml:space="preserve"> de la variabilidad. Aunque tiene menos peso que el primer componente, sigue aportando una cantidad significativa de información.</w:t>
      </w:r>
      <w:r w:rsidRPr="0077241A">
        <w:br/>
      </w:r>
      <w:r w:rsidRPr="0077241A">
        <w:rPr>
          <w:b/>
          <w:bCs/>
        </w:rPr>
        <w:t>Disminución de la varianza explicada:</w:t>
      </w:r>
      <w:r w:rsidRPr="0077241A">
        <w:t xml:space="preserve"> Como se observa en la línea discontinua, </w:t>
      </w:r>
      <w:r w:rsidRPr="0077241A">
        <w:rPr>
          <w:b/>
          <w:bCs/>
        </w:rPr>
        <w:lastRenderedPageBreak/>
        <w:t>PC2 explica menos varianza que PC1</w:t>
      </w:r>
      <w:r w:rsidRPr="0077241A">
        <w:t>, lo que es común en PCA, ya que los componentes se ordenan de mayor a menor contribución a la variabilidad total.</w:t>
      </w:r>
    </w:p>
    <w:p w14:paraId="4747D9EA" w14:textId="47AEC8EB" w:rsidR="0077241A" w:rsidRDefault="0077241A">
      <w:r>
        <w:rPr>
          <w:noProof/>
        </w:rPr>
        <w:drawing>
          <wp:inline distT="0" distB="0" distL="0" distR="0" wp14:anchorId="484FCFB3" wp14:editId="5A6B204A">
            <wp:extent cx="5400040" cy="4226560"/>
            <wp:effectExtent l="0" t="0" r="0" b="2540"/>
            <wp:docPr id="10619134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4226560"/>
                    </a:xfrm>
                    <a:prstGeom prst="rect">
                      <a:avLst/>
                    </a:prstGeom>
                    <a:noFill/>
                    <a:ln>
                      <a:noFill/>
                    </a:ln>
                  </pic:spPr>
                </pic:pic>
              </a:graphicData>
            </a:graphic>
          </wp:inline>
        </w:drawing>
      </w:r>
    </w:p>
    <w:p w14:paraId="7747C314" w14:textId="77777777" w:rsidR="0077241A" w:rsidRDefault="0077241A"/>
    <w:p w14:paraId="705F3C98" w14:textId="77777777" w:rsidR="0077241A" w:rsidRDefault="0077241A"/>
    <w:p w14:paraId="39CF8EA3" w14:textId="77777777" w:rsidR="0077241A" w:rsidRDefault="0077241A"/>
    <w:p w14:paraId="138B4144" w14:textId="5CA586B0" w:rsidR="0077241A" w:rsidRDefault="0077241A">
      <w:r w:rsidRPr="0077241A">
        <w:rPr>
          <w:highlight w:val="cyan"/>
        </w:rPr>
        <w:t>PUNTO 5 Y 6:</w:t>
      </w:r>
    </w:p>
    <w:p w14:paraId="3C08FE60" w14:textId="77777777" w:rsidR="0077241A" w:rsidRPr="0077241A" w:rsidRDefault="0077241A" w:rsidP="0077241A">
      <w:r w:rsidRPr="0077241A">
        <w:t xml:space="preserve">El gráfico muestra los resultados de </w:t>
      </w:r>
      <w:r w:rsidRPr="0077241A">
        <w:rPr>
          <w:b/>
          <w:bCs/>
        </w:rPr>
        <w:t>K-</w:t>
      </w:r>
      <w:proofErr w:type="spellStart"/>
      <w:r w:rsidRPr="0077241A">
        <w:rPr>
          <w:b/>
          <w:bCs/>
        </w:rPr>
        <w:t>Means</w:t>
      </w:r>
      <w:proofErr w:type="spellEnd"/>
      <w:r w:rsidRPr="0077241A">
        <w:rPr>
          <w:b/>
          <w:bCs/>
        </w:rPr>
        <w:t xml:space="preserve"> </w:t>
      </w:r>
      <w:proofErr w:type="spellStart"/>
      <w:r w:rsidRPr="0077241A">
        <w:rPr>
          <w:b/>
          <w:bCs/>
        </w:rPr>
        <w:t>clustering</w:t>
      </w:r>
      <w:proofErr w:type="spellEnd"/>
      <w:r w:rsidRPr="0077241A">
        <w:t xml:space="preserve"> con diferentes valores de </w:t>
      </w:r>
      <w:r w:rsidRPr="0077241A">
        <w:rPr>
          <w:b/>
          <w:bCs/>
        </w:rPr>
        <w:t>k</w:t>
      </w:r>
      <w:r w:rsidRPr="0077241A">
        <w:t xml:space="preserve"> (número de grupos). Se observa cómo los puntos de datos se agrupan en función de </w:t>
      </w:r>
      <w:r w:rsidRPr="0077241A">
        <w:rPr>
          <w:b/>
          <w:bCs/>
        </w:rPr>
        <w:t>Edad</w:t>
      </w:r>
      <w:r w:rsidRPr="0077241A">
        <w:t xml:space="preserve"> (x-axis) y </w:t>
      </w:r>
      <w:r w:rsidRPr="0077241A">
        <w:rPr>
          <w:b/>
          <w:bCs/>
        </w:rPr>
        <w:t>Educación</w:t>
      </w:r>
      <w:r w:rsidRPr="0077241A">
        <w:t xml:space="preserve"> (y-axis).</w:t>
      </w:r>
    </w:p>
    <w:p w14:paraId="6D5E173B" w14:textId="77777777" w:rsidR="0077241A" w:rsidRDefault="0077241A" w:rsidP="0077241A">
      <w:pPr>
        <w:rPr>
          <w:rFonts w:ascii="Segoe UI Emoji" w:hAnsi="Segoe UI Emoji" w:cs="Segoe UI Emoji"/>
        </w:rPr>
      </w:pPr>
      <w:r w:rsidRPr="0077241A">
        <w:rPr>
          <w:rFonts w:ascii="Segoe UI Emoji" w:hAnsi="Segoe UI Emoji" w:cs="Segoe UI Emoji"/>
        </w:rPr>
        <w:t>📊</w:t>
      </w:r>
      <w:r w:rsidRPr="0077241A">
        <w:t xml:space="preserve"> </w:t>
      </w:r>
      <w:r w:rsidRPr="0077241A">
        <w:rPr>
          <w:b/>
          <w:bCs/>
        </w:rPr>
        <w:t>Análisis de los resultados:</w:t>
      </w:r>
      <w:r w:rsidRPr="0077241A">
        <w:t xml:space="preserve"> </w:t>
      </w:r>
    </w:p>
    <w:p w14:paraId="4013881C" w14:textId="257AA6CF" w:rsidR="0077241A" w:rsidRPr="0077241A" w:rsidRDefault="0077241A" w:rsidP="0077241A">
      <w:r w:rsidRPr="0077241A">
        <w:rPr>
          <w:b/>
          <w:bCs/>
        </w:rPr>
        <w:t>K=2:</w:t>
      </w:r>
      <w:r w:rsidRPr="0077241A">
        <w:t xml:space="preserve"> Se generan </w:t>
      </w:r>
      <w:r w:rsidRPr="0077241A">
        <w:rPr>
          <w:b/>
          <w:bCs/>
        </w:rPr>
        <w:t xml:space="preserve">dos </w:t>
      </w:r>
      <w:proofErr w:type="spellStart"/>
      <w:proofErr w:type="gramStart"/>
      <w:r w:rsidRPr="0077241A">
        <w:rPr>
          <w:b/>
          <w:bCs/>
        </w:rPr>
        <w:t>clusters</w:t>
      </w:r>
      <w:proofErr w:type="spellEnd"/>
      <w:proofErr w:type="gramEnd"/>
      <w:r w:rsidRPr="0077241A">
        <w:t xml:space="preserve">, lo que sugiere una separación más general entre grupos. Es posible que los datos se dividan en </w:t>
      </w:r>
      <w:r w:rsidRPr="0077241A">
        <w:rPr>
          <w:b/>
          <w:bCs/>
        </w:rPr>
        <w:t>baja educación vs. alta educación</w:t>
      </w:r>
      <w:r w:rsidRPr="0077241A">
        <w:t xml:space="preserve"> o </w:t>
      </w:r>
      <w:r w:rsidRPr="0077241A">
        <w:rPr>
          <w:b/>
          <w:bCs/>
        </w:rPr>
        <w:t>jóvenes vs. mayores</w:t>
      </w:r>
      <w:r w:rsidRPr="0077241A">
        <w:t>.</w:t>
      </w:r>
      <w:r w:rsidRPr="0077241A">
        <w:br/>
      </w:r>
      <w:r w:rsidRPr="0077241A">
        <w:rPr>
          <w:b/>
          <w:bCs/>
        </w:rPr>
        <w:t>K=4:</w:t>
      </w:r>
      <w:r w:rsidRPr="0077241A">
        <w:t xml:space="preserve"> Se observan </w:t>
      </w:r>
      <w:r w:rsidRPr="0077241A">
        <w:rPr>
          <w:b/>
          <w:bCs/>
        </w:rPr>
        <w:t xml:space="preserve">cuatro </w:t>
      </w:r>
      <w:proofErr w:type="spellStart"/>
      <w:proofErr w:type="gramStart"/>
      <w:r w:rsidRPr="0077241A">
        <w:rPr>
          <w:b/>
          <w:bCs/>
        </w:rPr>
        <w:t>clusters</w:t>
      </w:r>
      <w:proofErr w:type="spellEnd"/>
      <w:proofErr w:type="gramEnd"/>
      <w:r w:rsidRPr="0077241A">
        <w:t>, lo que permite una mayor diferenciación entre los grupos. Esto podría reflejar niveles educativos más específicos o distintas etapas laborales.</w:t>
      </w:r>
      <w:r w:rsidRPr="0077241A">
        <w:br/>
      </w:r>
      <w:r w:rsidRPr="0077241A">
        <w:rPr>
          <w:b/>
          <w:bCs/>
        </w:rPr>
        <w:t>K=10:</w:t>
      </w:r>
      <w:r w:rsidRPr="0077241A">
        <w:t xml:space="preserve"> La segmentación es mucho más detallada, con </w:t>
      </w:r>
      <w:proofErr w:type="spellStart"/>
      <w:proofErr w:type="gramStart"/>
      <w:r w:rsidRPr="0077241A">
        <w:rPr>
          <w:b/>
          <w:bCs/>
        </w:rPr>
        <w:t>clusters</w:t>
      </w:r>
      <w:proofErr w:type="spellEnd"/>
      <w:proofErr w:type="gramEnd"/>
      <w:r w:rsidRPr="0077241A">
        <w:rPr>
          <w:b/>
          <w:bCs/>
        </w:rPr>
        <w:t xml:space="preserve"> más pequeños</w:t>
      </w:r>
      <w:r w:rsidRPr="0077241A">
        <w:t xml:space="preserve">, lo </w:t>
      </w:r>
      <w:r w:rsidRPr="0077241A">
        <w:lastRenderedPageBreak/>
        <w:t xml:space="preserve">que podría capturar diferencias en educación o edad con mayor precisión. Sin embargo, demasiados </w:t>
      </w:r>
      <w:proofErr w:type="spellStart"/>
      <w:proofErr w:type="gramStart"/>
      <w:r w:rsidRPr="0077241A">
        <w:t>clusters</w:t>
      </w:r>
      <w:proofErr w:type="spellEnd"/>
      <w:proofErr w:type="gramEnd"/>
      <w:r w:rsidRPr="0077241A">
        <w:t xml:space="preserve"> pueden generar ruido en los datos.</w:t>
      </w:r>
    </w:p>
    <w:p w14:paraId="042B9EB5" w14:textId="77777777" w:rsidR="0077241A" w:rsidRPr="0077241A" w:rsidRDefault="0077241A" w:rsidP="0077241A">
      <w:r w:rsidRPr="0077241A">
        <w:t xml:space="preserve">Un </w:t>
      </w:r>
      <w:proofErr w:type="spellStart"/>
      <w:r w:rsidRPr="0077241A">
        <w:rPr>
          <w:b/>
          <w:bCs/>
        </w:rPr>
        <w:t>dendrograma</w:t>
      </w:r>
      <w:proofErr w:type="spellEnd"/>
      <w:r w:rsidRPr="0077241A">
        <w:t xml:space="preserve"> es un gráfico que representa la estructura de un </w:t>
      </w:r>
      <w:proofErr w:type="spellStart"/>
      <w:r w:rsidRPr="0077241A">
        <w:rPr>
          <w:b/>
          <w:bCs/>
        </w:rPr>
        <w:t>clustering</w:t>
      </w:r>
      <w:proofErr w:type="spellEnd"/>
      <w:r w:rsidRPr="0077241A">
        <w:rPr>
          <w:b/>
          <w:bCs/>
        </w:rPr>
        <w:t xml:space="preserve"> jerárquico</w:t>
      </w:r>
      <w:r w:rsidRPr="0077241A">
        <w:t>, mostrando cómo los datos se agrupan de manera progresiva.</w:t>
      </w:r>
    </w:p>
    <w:p w14:paraId="1874405A" w14:textId="0D510E8D" w:rsidR="0077241A" w:rsidRPr="0077241A" w:rsidRDefault="0077241A" w:rsidP="0077241A">
      <w:r>
        <w:rPr>
          <w:noProof/>
        </w:rPr>
        <w:drawing>
          <wp:anchor distT="0" distB="0" distL="114300" distR="114300" simplePos="0" relativeHeight="251658240" behindDoc="1" locked="0" layoutInCell="1" allowOverlap="1" wp14:anchorId="2F89BC28" wp14:editId="5F29A33D">
            <wp:simplePos x="0" y="0"/>
            <wp:positionH relativeFrom="margin">
              <wp:align>center</wp:align>
            </wp:positionH>
            <wp:positionV relativeFrom="paragraph">
              <wp:posOffset>1740452</wp:posOffset>
            </wp:positionV>
            <wp:extent cx="7016750" cy="2448560"/>
            <wp:effectExtent l="0" t="0" r="0" b="8890"/>
            <wp:wrapTight wrapText="bothSides">
              <wp:wrapPolygon edited="0">
                <wp:start x="0" y="0"/>
                <wp:lineTo x="0" y="21510"/>
                <wp:lineTo x="21522" y="21510"/>
                <wp:lineTo x="21522" y="0"/>
                <wp:lineTo x="0" y="0"/>
              </wp:wrapPolygon>
            </wp:wrapTight>
            <wp:docPr id="56544334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22089" cy="2450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241A">
        <w:rPr>
          <w:rFonts w:ascii="Segoe UI Emoji" w:hAnsi="Segoe UI Emoji" w:cs="Segoe UI Emoji"/>
        </w:rPr>
        <w:t>📌</w:t>
      </w:r>
      <w:r w:rsidRPr="0077241A">
        <w:t xml:space="preserve"> </w:t>
      </w:r>
      <w:r w:rsidRPr="0077241A">
        <w:rPr>
          <w:b/>
          <w:bCs/>
        </w:rPr>
        <w:t>Características principales:</w:t>
      </w:r>
      <w:r w:rsidRPr="0077241A">
        <w:br/>
      </w:r>
      <w:r w:rsidRPr="0077241A">
        <w:rPr>
          <w:b/>
          <w:bCs/>
        </w:rPr>
        <w:t>Estructura de árbol</w:t>
      </w:r>
      <w:r w:rsidRPr="0077241A">
        <w:t xml:space="preserve"> → Cada unión en el gráfico representa la fusión de dos grupos en un nivel superior.</w:t>
      </w:r>
      <w:r w:rsidRPr="0077241A">
        <w:br/>
      </w:r>
      <w:r w:rsidRPr="0077241A">
        <w:rPr>
          <w:b/>
          <w:bCs/>
        </w:rPr>
        <w:t>Distancia entre nodos</w:t>
      </w:r>
      <w:r w:rsidRPr="0077241A">
        <w:t xml:space="preserve"> → La altura de las conexiones indica qué tan similares son los grupos antes de combinarse.</w:t>
      </w:r>
      <w:r w:rsidRPr="0077241A">
        <w:br/>
      </w:r>
      <w:r w:rsidRPr="0077241A">
        <w:rPr>
          <w:b/>
          <w:bCs/>
        </w:rPr>
        <w:t xml:space="preserve">Uso en </w:t>
      </w:r>
      <w:proofErr w:type="spellStart"/>
      <w:r w:rsidRPr="0077241A">
        <w:rPr>
          <w:b/>
          <w:bCs/>
        </w:rPr>
        <w:t>clustering</w:t>
      </w:r>
      <w:proofErr w:type="spellEnd"/>
      <w:r w:rsidRPr="0077241A">
        <w:t xml:space="preserve"> → Se usa para decidir el número óptimo de </w:t>
      </w:r>
      <w:proofErr w:type="spellStart"/>
      <w:proofErr w:type="gramStart"/>
      <w:r w:rsidRPr="0077241A">
        <w:t>clusters</w:t>
      </w:r>
      <w:proofErr w:type="spellEnd"/>
      <w:proofErr w:type="gramEnd"/>
      <w:r w:rsidRPr="0077241A">
        <w:t xml:space="preserve"> en un análisis jerárquico.</w:t>
      </w:r>
    </w:p>
    <w:p w14:paraId="3A30EB82" w14:textId="0BEB6870" w:rsidR="0077241A" w:rsidRDefault="0077241A"/>
    <w:p w14:paraId="0A2BA630" w14:textId="77777777" w:rsidR="00C16429" w:rsidRDefault="00C16429"/>
    <w:p w14:paraId="756868ED" w14:textId="77777777" w:rsidR="00C16429" w:rsidRDefault="00C16429"/>
    <w:p w14:paraId="0A572034" w14:textId="77777777" w:rsidR="00C16429" w:rsidRDefault="00C16429"/>
    <w:p w14:paraId="626A5532" w14:textId="61400456" w:rsidR="00C16429" w:rsidRDefault="00C16429"/>
    <w:p w14:paraId="00B31B98" w14:textId="6FF3375F" w:rsidR="00BD3160" w:rsidRDefault="00BD3160"/>
    <w:p w14:paraId="2895D6BE" w14:textId="60A03970" w:rsidR="00BD3160" w:rsidRDefault="00BD3160"/>
    <w:p w14:paraId="266150FE" w14:textId="7DC85653" w:rsidR="00BD3160" w:rsidRDefault="00BD3160"/>
    <w:sectPr w:rsidR="00BD31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775314"/>
    <w:multiLevelType w:val="multilevel"/>
    <w:tmpl w:val="BB10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831AF"/>
    <w:multiLevelType w:val="multilevel"/>
    <w:tmpl w:val="6C9C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E7719E"/>
    <w:multiLevelType w:val="multilevel"/>
    <w:tmpl w:val="2CE8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EB37D6"/>
    <w:multiLevelType w:val="multilevel"/>
    <w:tmpl w:val="A8927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4B1033"/>
    <w:multiLevelType w:val="multilevel"/>
    <w:tmpl w:val="3E70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C7273A"/>
    <w:multiLevelType w:val="multilevel"/>
    <w:tmpl w:val="4D76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F76E7E"/>
    <w:multiLevelType w:val="multilevel"/>
    <w:tmpl w:val="56E6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E4A53"/>
    <w:multiLevelType w:val="multilevel"/>
    <w:tmpl w:val="197A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6C68CC"/>
    <w:multiLevelType w:val="multilevel"/>
    <w:tmpl w:val="464E9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C73F39"/>
    <w:multiLevelType w:val="multilevel"/>
    <w:tmpl w:val="79F2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1B3817"/>
    <w:multiLevelType w:val="multilevel"/>
    <w:tmpl w:val="0B645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56018D"/>
    <w:multiLevelType w:val="multilevel"/>
    <w:tmpl w:val="6C04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1735E0"/>
    <w:multiLevelType w:val="multilevel"/>
    <w:tmpl w:val="FF4CC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8F3C42"/>
    <w:multiLevelType w:val="multilevel"/>
    <w:tmpl w:val="E044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9367C8"/>
    <w:multiLevelType w:val="multilevel"/>
    <w:tmpl w:val="7030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D96F3F"/>
    <w:multiLevelType w:val="multilevel"/>
    <w:tmpl w:val="32C05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103038">
    <w:abstractNumId w:val="9"/>
  </w:num>
  <w:num w:numId="2" w16cid:durableId="1646004648">
    <w:abstractNumId w:val="13"/>
  </w:num>
  <w:num w:numId="3" w16cid:durableId="183327486">
    <w:abstractNumId w:val="5"/>
  </w:num>
  <w:num w:numId="4" w16cid:durableId="2056611731">
    <w:abstractNumId w:val="1"/>
  </w:num>
  <w:num w:numId="5" w16cid:durableId="1164394085">
    <w:abstractNumId w:val="0"/>
  </w:num>
  <w:num w:numId="6" w16cid:durableId="722095586">
    <w:abstractNumId w:val="14"/>
  </w:num>
  <w:num w:numId="7" w16cid:durableId="1110933110">
    <w:abstractNumId w:val="7"/>
  </w:num>
  <w:num w:numId="8" w16cid:durableId="1866206778">
    <w:abstractNumId w:val="12"/>
  </w:num>
  <w:num w:numId="9" w16cid:durableId="1211379874">
    <w:abstractNumId w:val="6"/>
  </w:num>
  <w:num w:numId="10" w16cid:durableId="666325710">
    <w:abstractNumId w:val="2"/>
  </w:num>
  <w:num w:numId="11" w16cid:durableId="760414330">
    <w:abstractNumId w:val="8"/>
  </w:num>
  <w:num w:numId="12" w16cid:durableId="59526367">
    <w:abstractNumId w:val="4"/>
  </w:num>
  <w:num w:numId="13" w16cid:durableId="1950161292">
    <w:abstractNumId w:val="10"/>
  </w:num>
  <w:num w:numId="14" w16cid:durableId="460727091">
    <w:abstractNumId w:val="15"/>
  </w:num>
  <w:num w:numId="15" w16cid:durableId="195124415">
    <w:abstractNumId w:val="3"/>
  </w:num>
  <w:num w:numId="16" w16cid:durableId="214639000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AB4"/>
    <w:rsid w:val="000C2EE2"/>
    <w:rsid w:val="00101F4A"/>
    <w:rsid w:val="00116559"/>
    <w:rsid w:val="00250792"/>
    <w:rsid w:val="003A1EB5"/>
    <w:rsid w:val="003C5E42"/>
    <w:rsid w:val="0077241A"/>
    <w:rsid w:val="007B39F1"/>
    <w:rsid w:val="00833B10"/>
    <w:rsid w:val="008454DB"/>
    <w:rsid w:val="008D54E8"/>
    <w:rsid w:val="00981696"/>
    <w:rsid w:val="00B032A0"/>
    <w:rsid w:val="00BD3160"/>
    <w:rsid w:val="00C16429"/>
    <w:rsid w:val="00D02AB4"/>
    <w:rsid w:val="00EC35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C4226"/>
  <w15:chartTrackingRefBased/>
  <w15:docId w15:val="{B6D36A1F-8026-4F0C-9DB9-0941AB807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02A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2A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2AB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2AB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2AB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2A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2A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2A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2A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2AB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2AB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2AB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2AB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2AB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2A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2A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2A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2AB4"/>
    <w:rPr>
      <w:rFonts w:eastAsiaTheme="majorEastAsia" w:cstheme="majorBidi"/>
      <w:color w:val="272727" w:themeColor="text1" w:themeTint="D8"/>
    </w:rPr>
  </w:style>
  <w:style w:type="paragraph" w:styleId="Ttulo">
    <w:name w:val="Title"/>
    <w:basedOn w:val="Normal"/>
    <w:next w:val="Normal"/>
    <w:link w:val="TtuloCar"/>
    <w:uiPriority w:val="10"/>
    <w:qFormat/>
    <w:rsid w:val="00D02A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2A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2A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2A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2AB4"/>
    <w:pPr>
      <w:spacing w:before="160"/>
      <w:jc w:val="center"/>
    </w:pPr>
    <w:rPr>
      <w:i/>
      <w:iCs/>
      <w:color w:val="404040" w:themeColor="text1" w:themeTint="BF"/>
    </w:rPr>
  </w:style>
  <w:style w:type="character" w:customStyle="1" w:styleId="CitaCar">
    <w:name w:val="Cita Car"/>
    <w:basedOn w:val="Fuentedeprrafopredeter"/>
    <w:link w:val="Cita"/>
    <w:uiPriority w:val="29"/>
    <w:rsid w:val="00D02AB4"/>
    <w:rPr>
      <w:i/>
      <w:iCs/>
      <w:color w:val="404040" w:themeColor="text1" w:themeTint="BF"/>
    </w:rPr>
  </w:style>
  <w:style w:type="paragraph" w:styleId="Prrafodelista">
    <w:name w:val="List Paragraph"/>
    <w:basedOn w:val="Normal"/>
    <w:uiPriority w:val="34"/>
    <w:qFormat/>
    <w:rsid w:val="00D02AB4"/>
    <w:pPr>
      <w:ind w:left="720"/>
      <w:contextualSpacing/>
    </w:pPr>
  </w:style>
  <w:style w:type="character" w:styleId="nfasisintenso">
    <w:name w:val="Intense Emphasis"/>
    <w:basedOn w:val="Fuentedeprrafopredeter"/>
    <w:uiPriority w:val="21"/>
    <w:qFormat/>
    <w:rsid w:val="00D02AB4"/>
    <w:rPr>
      <w:i/>
      <w:iCs/>
      <w:color w:val="0F4761" w:themeColor="accent1" w:themeShade="BF"/>
    </w:rPr>
  </w:style>
  <w:style w:type="paragraph" w:styleId="Citadestacada">
    <w:name w:val="Intense Quote"/>
    <w:basedOn w:val="Normal"/>
    <w:next w:val="Normal"/>
    <w:link w:val="CitadestacadaCar"/>
    <w:uiPriority w:val="30"/>
    <w:qFormat/>
    <w:rsid w:val="00D02A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2AB4"/>
    <w:rPr>
      <w:i/>
      <w:iCs/>
      <w:color w:val="0F4761" w:themeColor="accent1" w:themeShade="BF"/>
    </w:rPr>
  </w:style>
  <w:style w:type="character" w:styleId="Referenciaintensa">
    <w:name w:val="Intense Reference"/>
    <w:basedOn w:val="Fuentedeprrafopredeter"/>
    <w:uiPriority w:val="32"/>
    <w:qFormat/>
    <w:rsid w:val="00D02AB4"/>
    <w:rPr>
      <w:b/>
      <w:bCs/>
      <w:smallCaps/>
      <w:color w:val="0F4761" w:themeColor="accent1" w:themeShade="BF"/>
      <w:spacing w:val="5"/>
    </w:rPr>
  </w:style>
  <w:style w:type="table" w:styleId="Tablaconcuadrcula">
    <w:name w:val="Table Grid"/>
    <w:basedOn w:val="Tablanormal"/>
    <w:rsid w:val="00833B10"/>
    <w:pPr>
      <w:spacing w:after="0" w:line="240" w:lineRule="auto"/>
    </w:pPr>
    <w:rPr>
      <w:rFonts w:ascii="Times New Roman" w:eastAsia="Times New Roman" w:hAnsi="Times New Roman"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89475">
      <w:bodyDiv w:val="1"/>
      <w:marLeft w:val="0"/>
      <w:marRight w:val="0"/>
      <w:marTop w:val="0"/>
      <w:marBottom w:val="0"/>
      <w:divBdr>
        <w:top w:val="none" w:sz="0" w:space="0" w:color="auto"/>
        <w:left w:val="none" w:sz="0" w:space="0" w:color="auto"/>
        <w:bottom w:val="none" w:sz="0" w:space="0" w:color="auto"/>
        <w:right w:val="none" w:sz="0" w:space="0" w:color="auto"/>
      </w:divBdr>
    </w:div>
    <w:div w:id="299918007">
      <w:bodyDiv w:val="1"/>
      <w:marLeft w:val="0"/>
      <w:marRight w:val="0"/>
      <w:marTop w:val="0"/>
      <w:marBottom w:val="0"/>
      <w:divBdr>
        <w:top w:val="none" w:sz="0" w:space="0" w:color="auto"/>
        <w:left w:val="none" w:sz="0" w:space="0" w:color="auto"/>
        <w:bottom w:val="none" w:sz="0" w:space="0" w:color="auto"/>
        <w:right w:val="none" w:sz="0" w:space="0" w:color="auto"/>
      </w:divBdr>
    </w:div>
    <w:div w:id="306202557">
      <w:bodyDiv w:val="1"/>
      <w:marLeft w:val="0"/>
      <w:marRight w:val="0"/>
      <w:marTop w:val="0"/>
      <w:marBottom w:val="0"/>
      <w:divBdr>
        <w:top w:val="none" w:sz="0" w:space="0" w:color="auto"/>
        <w:left w:val="none" w:sz="0" w:space="0" w:color="auto"/>
        <w:bottom w:val="none" w:sz="0" w:space="0" w:color="auto"/>
        <w:right w:val="none" w:sz="0" w:space="0" w:color="auto"/>
      </w:divBdr>
    </w:div>
    <w:div w:id="322199537">
      <w:bodyDiv w:val="1"/>
      <w:marLeft w:val="0"/>
      <w:marRight w:val="0"/>
      <w:marTop w:val="0"/>
      <w:marBottom w:val="0"/>
      <w:divBdr>
        <w:top w:val="none" w:sz="0" w:space="0" w:color="auto"/>
        <w:left w:val="none" w:sz="0" w:space="0" w:color="auto"/>
        <w:bottom w:val="none" w:sz="0" w:space="0" w:color="auto"/>
        <w:right w:val="none" w:sz="0" w:space="0" w:color="auto"/>
      </w:divBdr>
    </w:div>
    <w:div w:id="482039221">
      <w:bodyDiv w:val="1"/>
      <w:marLeft w:val="0"/>
      <w:marRight w:val="0"/>
      <w:marTop w:val="0"/>
      <w:marBottom w:val="0"/>
      <w:divBdr>
        <w:top w:val="none" w:sz="0" w:space="0" w:color="auto"/>
        <w:left w:val="none" w:sz="0" w:space="0" w:color="auto"/>
        <w:bottom w:val="none" w:sz="0" w:space="0" w:color="auto"/>
        <w:right w:val="none" w:sz="0" w:space="0" w:color="auto"/>
      </w:divBdr>
    </w:div>
    <w:div w:id="727806390">
      <w:bodyDiv w:val="1"/>
      <w:marLeft w:val="0"/>
      <w:marRight w:val="0"/>
      <w:marTop w:val="0"/>
      <w:marBottom w:val="0"/>
      <w:divBdr>
        <w:top w:val="none" w:sz="0" w:space="0" w:color="auto"/>
        <w:left w:val="none" w:sz="0" w:space="0" w:color="auto"/>
        <w:bottom w:val="none" w:sz="0" w:space="0" w:color="auto"/>
        <w:right w:val="none" w:sz="0" w:space="0" w:color="auto"/>
      </w:divBdr>
    </w:div>
    <w:div w:id="915670452">
      <w:bodyDiv w:val="1"/>
      <w:marLeft w:val="0"/>
      <w:marRight w:val="0"/>
      <w:marTop w:val="0"/>
      <w:marBottom w:val="0"/>
      <w:divBdr>
        <w:top w:val="none" w:sz="0" w:space="0" w:color="auto"/>
        <w:left w:val="none" w:sz="0" w:space="0" w:color="auto"/>
        <w:bottom w:val="none" w:sz="0" w:space="0" w:color="auto"/>
        <w:right w:val="none" w:sz="0" w:space="0" w:color="auto"/>
      </w:divBdr>
    </w:div>
    <w:div w:id="933512157">
      <w:bodyDiv w:val="1"/>
      <w:marLeft w:val="0"/>
      <w:marRight w:val="0"/>
      <w:marTop w:val="0"/>
      <w:marBottom w:val="0"/>
      <w:divBdr>
        <w:top w:val="none" w:sz="0" w:space="0" w:color="auto"/>
        <w:left w:val="none" w:sz="0" w:space="0" w:color="auto"/>
        <w:bottom w:val="none" w:sz="0" w:space="0" w:color="auto"/>
        <w:right w:val="none" w:sz="0" w:space="0" w:color="auto"/>
      </w:divBdr>
    </w:div>
    <w:div w:id="970401157">
      <w:bodyDiv w:val="1"/>
      <w:marLeft w:val="0"/>
      <w:marRight w:val="0"/>
      <w:marTop w:val="0"/>
      <w:marBottom w:val="0"/>
      <w:divBdr>
        <w:top w:val="none" w:sz="0" w:space="0" w:color="auto"/>
        <w:left w:val="none" w:sz="0" w:space="0" w:color="auto"/>
        <w:bottom w:val="none" w:sz="0" w:space="0" w:color="auto"/>
        <w:right w:val="none" w:sz="0" w:space="0" w:color="auto"/>
      </w:divBdr>
    </w:div>
    <w:div w:id="976107966">
      <w:bodyDiv w:val="1"/>
      <w:marLeft w:val="0"/>
      <w:marRight w:val="0"/>
      <w:marTop w:val="0"/>
      <w:marBottom w:val="0"/>
      <w:divBdr>
        <w:top w:val="none" w:sz="0" w:space="0" w:color="auto"/>
        <w:left w:val="none" w:sz="0" w:space="0" w:color="auto"/>
        <w:bottom w:val="none" w:sz="0" w:space="0" w:color="auto"/>
        <w:right w:val="none" w:sz="0" w:space="0" w:color="auto"/>
      </w:divBdr>
    </w:div>
    <w:div w:id="1180044246">
      <w:bodyDiv w:val="1"/>
      <w:marLeft w:val="0"/>
      <w:marRight w:val="0"/>
      <w:marTop w:val="0"/>
      <w:marBottom w:val="0"/>
      <w:divBdr>
        <w:top w:val="none" w:sz="0" w:space="0" w:color="auto"/>
        <w:left w:val="none" w:sz="0" w:space="0" w:color="auto"/>
        <w:bottom w:val="none" w:sz="0" w:space="0" w:color="auto"/>
        <w:right w:val="none" w:sz="0" w:space="0" w:color="auto"/>
      </w:divBdr>
    </w:div>
    <w:div w:id="1196842751">
      <w:bodyDiv w:val="1"/>
      <w:marLeft w:val="0"/>
      <w:marRight w:val="0"/>
      <w:marTop w:val="0"/>
      <w:marBottom w:val="0"/>
      <w:divBdr>
        <w:top w:val="none" w:sz="0" w:space="0" w:color="auto"/>
        <w:left w:val="none" w:sz="0" w:space="0" w:color="auto"/>
        <w:bottom w:val="none" w:sz="0" w:space="0" w:color="auto"/>
        <w:right w:val="none" w:sz="0" w:space="0" w:color="auto"/>
      </w:divBdr>
    </w:div>
    <w:div w:id="1277832209">
      <w:bodyDiv w:val="1"/>
      <w:marLeft w:val="0"/>
      <w:marRight w:val="0"/>
      <w:marTop w:val="0"/>
      <w:marBottom w:val="0"/>
      <w:divBdr>
        <w:top w:val="none" w:sz="0" w:space="0" w:color="auto"/>
        <w:left w:val="none" w:sz="0" w:space="0" w:color="auto"/>
        <w:bottom w:val="none" w:sz="0" w:space="0" w:color="auto"/>
        <w:right w:val="none" w:sz="0" w:space="0" w:color="auto"/>
      </w:divBdr>
    </w:div>
    <w:div w:id="1368944752">
      <w:bodyDiv w:val="1"/>
      <w:marLeft w:val="0"/>
      <w:marRight w:val="0"/>
      <w:marTop w:val="0"/>
      <w:marBottom w:val="0"/>
      <w:divBdr>
        <w:top w:val="none" w:sz="0" w:space="0" w:color="auto"/>
        <w:left w:val="none" w:sz="0" w:space="0" w:color="auto"/>
        <w:bottom w:val="none" w:sz="0" w:space="0" w:color="auto"/>
        <w:right w:val="none" w:sz="0" w:space="0" w:color="auto"/>
      </w:divBdr>
    </w:div>
    <w:div w:id="1371996533">
      <w:bodyDiv w:val="1"/>
      <w:marLeft w:val="0"/>
      <w:marRight w:val="0"/>
      <w:marTop w:val="0"/>
      <w:marBottom w:val="0"/>
      <w:divBdr>
        <w:top w:val="none" w:sz="0" w:space="0" w:color="auto"/>
        <w:left w:val="none" w:sz="0" w:space="0" w:color="auto"/>
        <w:bottom w:val="none" w:sz="0" w:space="0" w:color="auto"/>
        <w:right w:val="none" w:sz="0" w:space="0" w:color="auto"/>
      </w:divBdr>
    </w:div>
    <w:div w:id="1381321683">
      <w:bodyDiv w:val="1"/>
      <w:marLeft w:val="0"/>
      <w:marRight w:val="0"/>
      <w:marTop w:val="0"/>
      <w:marBottom w:val="0"/>
      <w:divBdr>
        <w:top w:val="none" w:sz="0" w:space="0" w:color="auto"/>
        <w:left w:val="none" w:sz="0" w:space="0" w:color="auto"/>
        <w:bottom w:val="none" w:sz="0" w:space="0" w:color="auto"/>
        <w:right w:val="none" w:sz="0" w:space="0" w:color="auto"/>
      </w:divBdr>
    </w:div>
    <w:div w:id="1383168952">
      <w:bodyDiv w:val="1"/>
      <w:marLeft w:val="0"/>
      <w:marRight w:val="0"/>
      <w:marTop w:val="0"/>
      <w:marBottom w:val="0"/>
      <w:divBdr>
        <w:top w:val="none" w:sz="0" w:space="0" w:color="auto"/>
        <w:left w:val="none" w:sz="0" w:space="0" w:color="auto"/>
        <w:bottom w:val="none" w:sz="0" w:space="0" w:color="auto"/>
        <w:right w:val="none" w:sz="0" w:space="0" w:color="auto"/>
      </w:divBdr>
    </w:div>
    <w:div w:id="1395472563">
      <w:bodyDiv w:val="1"/>
      <w:marLeft w:val="0"/>
      <w:marRight w:val="0"/>
      <w:marTop w:val="0"/>
      <w:marBottom w:val="0"/>
      <w:divBdr>
        <w:top w:val="none" w:sz="0" w:space="0" w:color="auto"/>
        <w:left w:val="none" w:sz="0" w:space="0" w:color="auto"/>
        <w:bottom w:val="none" w:sz="0" w:space="0" w:color="auto"/>
        <w:right w:val="none" w:sz="0" w:space="0" w:color="auto"/>
      </w:divBdr>
    </w:div>
    <w:div w:id="1502308433">
      <w:bodyDiv w:val="1"/>
      <w:marLeft w:val="0"/>
      <w:marRight w:val="0"/>
      <w:marTop w:val="0"/>
      <w:marBottom w:val="0"/>
      <w:divBdr>
        <w:top w:val="none" w:sz="0" w:space="0" w:color="auto"/>
        <w:left w:val="none" w:sz="0" w:space="0" w:color="auto"/>
        <w:bottom w:val="none" w:sz="0" w:space="0" w:color="auto"/>
        <w:right w:val="none" w:sz="0" w:space="0" w:color="auto"/>
      </w:divBdr>
    </w:div>
    <w:div w:id="1503424101">
      <w:bodyDiv w:val="1"/>
      <w:marLeft w:val="0"/>
      <w:marRight w:val="0"/>
      <w:marTop w:val="0"/>
      <w:marBottom w:val="0"/>
      <w:divBdr>
        <w:top w:val="none" w:sz="0" w:space="0" w:color="auto"/>
        <w:left w:val="none" w:sz="0" w:space="0" w:color="auto"/>
        <w:bottom w:val="none" w:sz="0" w:space="0" w:color="auto"/>
        <w:right w:val="none" w:sz="0" w:space="0" w:color="auto"/>
      </w:divBdr>
    </w:div>
    <w:div w:id="1569029370">
      <w:bodyDiv w:val="1"/>
      <w:marLeft w:val="0"/>
      <w:marRight w:val="0"/>
      <w:marTop w:val="0"/>
      <w:marBottom w:val="0"/>
      <w:divBdr>
        <w:top w:val="none" w:sz="0" w:space="0" w:color="auto"/>
        <w:left w:val="none" w:sz="0" w:space="0" w:color="auto"/>
        <w:bottom w:val="none" w:sz="0" w:space="0" w:color="auto"/>
        <w:right w:val="none" w:sz="0" w:space="0" w:color="auto"/>
      </w:divBdr>
    </w:div>
    <w:div w:id="1680152941">
      <w:bodyDiv w:val="1"/>
      <w:marLeft w:val="0"/>
      <w:marRight w:val="0"/>
      <w:marTop w:val="0"/>
      <w:marBottom w:val="0"/>
      <w:divBdr>
        <w:top w:val="none" w:sz="0" w:space="0" w:color="auto"/>
        <w:left w:val="none" w:sz="0" w:space="0" w:color="auto"/>
        <w:bottom w:val="none" w:sz="0" w:space="0" w:color="auto"/>
        <w:right w:val="none" w:sz="0" w:space="0" w:color="auto"/>
      </w:divBdr>
    </w:div>
    <w:div w:id="1720126652">
      <w:bodyDiv w:val="1"/>
      <w:marLeft w:val="0"/>
      <w:marRight w:val="0"/>
      <w:marTop w:val="0"/>
      <w:marBottom w:val="0"/>
      <w:divBdr>
        <w:top w:val="none" w:sz="0" w:space="0" w:color="auto"/>
        <w:left w:val="none" w:sz="0" w:space="0" w:color="auto"/>
        <w:bottom w:val="none" w:sz="0" w:space="0" w:color="auto"/>
        <w:right w:val="none" w:sz="0" w:space="0" w:color="auto"/>
      </w:divBdr>
    </w:div>
    <w:div w:id="1848785074">
      <w:bodyDiv w:val="1"/>
      <w:marLeft w:val="0"/>
      <w:marRight w:val="0"/>
      <w:marTop w:val="0"/>
      <w:marBottom w:val="0"/>
      <w:divBdr>
        <w:top w:val="none" w:sz="0" w:space="0" w:color="auto"/>
        <w:left w:val="none" w:sz="0" w:space="0" w:color="auto"/>
        <w:bottom w:val="none" w:sz="0" w:space="0" w:color="auto"/>
        <w:right w:val="none" w:sz="0" w:space="0" w:color="auto"/>
      </w:divBdr>
    </w:div>
    <w:div w:id="1899051235">
      <w:bodyDiv w:val="1"/>
      <w:marLeft w:val="0"/>
      <w:marRight w:val="0"/>
      <w:marTop w:val="0"/>
      <w:marBottom w:val="0"/>
      <w:divBdr>
        <w:top w:val="none" w:sz="0" w:space="0" w:color="auto"/>
        <w:left w:val="none" w:sz="0" w:space="0" w:color="auto"/>
        <w:bottom w:val="none" w:sz="0" w:space="0" w:color="auto"/>
        <w:right w:val="none" w:sz="0" w:space="0" w:color="auto"/>
      </w:divBdr>
    </w:div>
    <w:div w:id="1990286143">
      <w:bodyDiv w:val="1"/>
      <w:marLeft w:val="0"/>
      <w:marRight w:val="0"/>
      <w:marTop w:val="0"/>
      <w:marBottom w:val="0"/>
      <w:divBdr>
        <w:top w:val="none" w:sz="0" w:space="0" w:color="auto"/>
        <w:left w:val="none" w:sz="0" w:space="0" w:color="auto"/>
        <w:bottom w:val="none" w:sz="0" w:space="0" w:color="auto"/>
        <w:right w:val="none" w:sz="0" w:space="0" w:color="auto"/>
      </w:divBdr>
    </w:div>
    <w:div w:id="2009357500">
      <w:bodyDiv w:val="1"/>
      <w:marLeft w:val="0"/>
      <w:marRight w:val="0"/>
      <w:marTop w:val="0"/>
      <w:marBottom w:val="0"/>
      <w:divBdr>
        <w:top w:val="none" w:sz="0" w:space="0" w:color="auto"/>
        <w:left w:val="none" w:sz="0" w:space="0" w:color="auto"/>
        <w:bottom w:val="none" w:sz="0" w:space="0" w:color="auto"/>
        <w:right w:val="none" w:sz="0" w:space="0" w:color="auto"/>
      </w:divBdr>
    </w:div>
    <w:div w:id="2035688596">
      <w:bodyDiv w:val="1"/>
      <w:marLeft w:val="0"/>
      <w:marRight w:val="0"/>
      <w:marTop w:val="0"/>
      <w:marBottom w:val="0"/>
      <w:divBdr>
        <w:top w:val="none" w:sz="0" w:space="0" w:color="auto"/>
        <w:left w:val="none" w:sz="0" w:space="0" w:color="auto"/>
        <w:bottom w:val="none" w:sz="0" w:space="0" w:color="auto"/>
        <w:right w:val="none" w:sz="0" w:space="0" w:color="auto"/>
      </w:divBdr>
    </w:div>
    <w:div w:id="2089230737">
      <w:bodyDiv w:val="1"/>
      <w:marLeft w:val="0"/>
      <w:marRight w:val="0"/>
      <w:marTop w:val="0"/>
      <w:marBottom w:val="0"/>
      <w:divBdr>
        <w:top w:val="none" w:sz="0" w:space="0" w:color="auto"/>
        <w:left w:val="none" w:sz="0" w:space="0" w:color="auto"/>
        <w:bottom w:val="none" w:sz="0" w:space="0" w:color="auto"/>
        <w:right w:val="none" w:sz="0" w:space="0" w:color="auto"/>
      </w:divBdr>
    </w:div>
    <w:div w:id="211717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11</Pages>
  <Words>1819</Words>
  <Characters>10006</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correa</dc:creator>
  <cp:keywords/>
  <dc:description/>
  <cp:lastModifiedBy>agustin correa</cp:lastModifiedBy>
  <cp:revision>5</cp:revision>
  <dcterms:created xsi:type="dcterms:W3CDTF">2025-05-10T14:57:00Z</dcterms:created>
  <dcterms:modified xsi:type="dcterms:W3CDTF">2025-05-12T23:32:00Z</dcterms:modified>
</cp:coreProperties>
</file>