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8A024" w14:textId="02D5C257" w:rsidR="005003E9" w:rsidRDefault="00D72489" w:rsidP="007A3D2D">
      <w:pPr>
        <w:pStyle w:val="Heading1"/>
      </w:pPr>
      <w:bookmarkStart w:id="0" w:name="_Toc55224238"/>
      <w:r>
        <w:t xml:space="preserve">SPD Summary of Changes for </w:t>
      </w:r>
      <w:r w:rsidR="004F10FB">
        <w:t>Commissioning Risk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850"/>
        <w:gridCol w:w="1289"/>
        <w:gridCol w:w="1272"/>
        <w:gridCol w:w="7079"/>
      </w:tblGrid>
      <w:tr w:rsidR="005003E9" w:rsidRPr="00145156" w14:paraId="13B61803" w14:textId="77777777" w:rsidTr="005D5276">
        <w:tc>
          <w:tcPr>
            <w:tcW w:w="0" w:type="auto"/>
            <w:shd w:val="pct12" w:color="auto" w:fill="auto"/>
          </w:tcPr>
          <w:p w14:paraId="093B512E" w14:textId="77777777" w:rsidR="005003E9" w:rsidRPr="00145156" w:rsidRDefault="005003E9" w:rsidP="00695DDD">
            <w:pPr>
              <w:pStyle w:val="TableTimes"/>
            </w:pPr>
            <w:r w:rsidRPr="00145156">
              <w:t>Version</w:t>
            </w:r>
          </w:p>
        </w:tc>
        <w:tc>
          <w:tcPr>
            <w:tcW w:w="0" w:type="auto"/>
            <w:shd w:val="pct12" w:color="auto" w:fill="auto"/>
          </w:tcPr>
          <w:p w14:paraId="43A611ED" w14:textId="77777777" w:rsidR="005003E9" w:rsidRPr="00145156" w:rsidRDefault="005003E9" w:rsidP="00695DDD">
            <w:pPr>
              <w:pStyle w:val="TableTimes"/>
            </w:pPr>
            <w:r w:rsidRPr="00145156">
              <w:t>Author</w:t>
            </w:r>
          </w:p>
        </w:tc>
        <w:tc>
          <w:tcPr>
            <w:tcW w:w="0" w:type="auto"/>
            <w:shd w:val="pct12" w:color="auto" w:fill="auto"/>
          </w:tcPr>
          <w:p w14:paraId="550A7E1F" w14:textId="77777777" w:rsidR="005003E9" w:rsidRPr="00145156" w:rsidRDefault="005003E9" w:rsidP="00695DDD">
            <w:pPr>
              <w:pStyle w:val="TableTimes"/>
            </w:pPr>
            <w:r w:rsidRPr="00145156">
              <w:t>Date</w:t>
            </w:r>
          </w:p>
        </w:tc>
        <w:tc>
          <w:tcPr>
            <w:tcW w:w="7079" w:type="dxa"/>
            <w:shd w:val="pct12" w:color="auto" w:fill="auto"/>
          </w:tcPr>
          <w:p w14:paraId="0E9560FA" w14:textId="77777777" w:rsidR="005003E9" w:rsidRPr="00145156" w:rsidRDefault="005003E9" w:rsidP="00695DDD">
            <w:pPr>
              <w:pStyle w:val="TableTimes"/>
            </w:pPr>
            <w:r w:rsidRPr="00145156">
              <w:t>Comments</w:t>
            </w:r>
          </w:p>
        </w:tc>
      </w:tr>
      <w:tr w:rsidR="005003E9" w:rsidRPr="00145156" w14:paraId="5935213E" w14:textId="77777777" w:rsidTr="005D5276">
        <w:tc>
          <w:tcPr>
            <w:tcW w:w="0" w:type="auto"/>
          </w:tcPr>
          <w:p w14:paraId="4BC3DF9D" w14:textId="77777777" w:rsidR="005003E9" w:rsidRPr="00145156" w:rsidRDefault="005003E9" w:rsidP="00695DDD">
            <w:pPr>
              <w:pStyle w:val="TableTimes"/>
            </w:pPr>
            <w:r w:rsidRPr="00145156">
              <w:t>1.0</w:t>
            </w:r>
          </w:p>
        </w:tc>
        <w:tc>
          <w:tcPr>
            <w:tcW w:w="0" w:type="auto"/>
          </w:tcPr>
          <w:p w14:paraId="3466708A" w14:textId="77777777" w:rsidR="005003E9" w:rsidRPr="00145156" w:rsidRDefault="005003E9" w:rsidP="00695DDD">
            <w:pPr>
              <w:pStyle w:val="TableTimes"/>
            </w:pPr>
            <w:r w:rsidRPr="00145156">
              <w:t>David Bullen</w:t>
            </w:r>
          </w:p>
        </w:tc>
        <w:tc>
          <w:tcPr>
            <w:tcW w:w="0" w:type="auto"/>
          </w:tcPr>
          <w:p w14:paraId="58F82431" w14:textId="653351E3" w:rsidR="005003E9" w:rsidRPr="00145156" w:rsidRDefault="004F10FB" w:rsidP="00695DDD">
            <w:pPr>
              <w:pStyle w:val="TableTimes"/>
            </w:pPr>
            <w:r>
              <w:t>1</w:t>
            </w:r>
            <w:r w:rsidR="002B7729">
              <w:t>3</w:t>
            </w:r>
            <w:r w:rsidR="005003E9">
              <w:t>-</w:t>
            </w:r>
            <w:r>
              <w:t>Dec</w:t>
            </w:r>
            <w:r w:rsidR="005003E9">
              <w:t>-20</w:t>
            </w:r>
            <w:r w:rsidR="00C0760C">
              <w:t>24</w:t>
            </w:r>
          </w:p>
        </w:tc>
        <w:tc>
          <w:tcPr>
            <w:tcW w:w="7079" w:type="dxa"/>
          </w:tcPr>
          <w:p w14:paraId="42913F45" w14:textId="778B8B27" w:rsidR="005003E9" w:rsidRPr="00145156" w:rsidRDefault="005003E9" w:rsidP="00695DDD">
            <w:pPr>
              <w:pStyle w:val="TableTimes"/>
            </w:pPr>
            <w:r w:rsidRPr="00145156">
              <w:t>Initia</w:t>
            </w:r>
            <w:r w:rsidR="008134E8">
              <w:t>l</w:t>
            </w:r>
          </w:p>
        </w:tc>
      </w:tr>
      <w:tr w:rsidR="00210B54" w:rsidRPr="00145156" w14:paraId="4F9963F2" w14:textId="77777777" w:rsidTr="005D5276">
        <w:tc>
          <w:tcPr>
            <w:tcW w:w="0" w:type="auto"/>
          </w:tcPr>
          <w:p w14:paraId="2818FFC4" w14:textId="667D5F61" w:rsidR="00210B54" w:rsidRPr="00145156" w:rsidRDefault="00210B54" w:rsidP="00695DDD">
            <w:pPr>
              <w:pStyle w:val="TableTimes"/>
            </w:pPr>
            <w:r>
              <w:t>1.1</w:t>
            </w:r>
          </w:p>
        </w:tc>
        <w:tc>
          <w:tcPr>
            <w:tcW w:w="0" w:type="auto"/>
          </w:tcPr>
          <w:p w14:paraId="6218DD8A" w14:textId="1EB5DECC" w:rsidR="00210B54" w:rsidRPr="00145156" w:rsidRDefault="00210B54" w:rsidP="00695DDD">
            <w:pPr>
              <w:pStyle w:val="TableTimes"/>
            </w:pPr>
            <w:r>
              <w:t>David Bullen</w:t>
            </w:r>
          </w:p>
        </w:tc>
        <w:tc>
          <w:tcPr>
            <w:tcW w:w="0" w:type="auto"/>
          </w:tcPr>
          <w:p w14:paraId="6EF7E114" w14:textId="19BD7F60" w:rsidR="00210B54" w:rsidRDefault="00210B54" w:rsidP="00695DDD">
            <w:pPr>
              <w:pStyle w:val="TableTimes"/>
            </w:pPr>
            <w:r>
              <w:t>17-Dec-2024</w:t>
            </w:r>
          </w:p>
        </w:tc>
        <w:tc>
          <w:tcPr>
            <w:tcW w:w="7079" w:type="dxa"/>
          </w:tcPr>
          <w:p w14:paraId="3682B653" w14:textId="10BEADA8" w:rsidR="00210B54" w:rsidRPr="00145156" w:rsidRDefault="00210B54" w:rsidP="00695DDD">
            <w:pPr>
              <w:pStyle w:val="TableTimes"/>
            </w:pPr>
            <w:r>
              <w:t>Updated to remove the references to changing IGPotentialMW</w:t>
            </w:r>
          </w:p>
        </w:tc>
      </w:tr>
      <w:tr w:rsidR="000B1E13" w:rsidRPr="00145156" w14:paraId="02640287" w14:textId="77777777" w:rsidTr="005D5276">
        <w:tc>
          <w:tcPr>
            <w:tcW w:w="0" w:type="auto"/>
          </w:tcPr>
          <w:p w14:paraId="5F339C6E" w14:textId="3B703927" w:rsidR="000B1E13" w:rsidRDefault="000B1E13" w:rsidP="00695DDD">
            <w:pPr>
              <w:pStyle w:val="TableTimes"/>
            </w:pPr>
            <w:r>
              <w:t>1.2</w:t>
            </w:r>
          </w:p>
        </w:tc>
        <w:tc>
          <w:tcPr>
            <w:tcW w:w="0" w:type="auto"/>
          </w:tcPr>
          <w:p w14:paraId="5A050FCF" w14:textId="6E632253" w:rsidR="000B1E13" w:rsidRDefault="000B1E13" w:rsidP="00695DDD">
            <w:pPr>
              <w:pStyle w:val="TableTimes"/>
            </w:pPr>
            <w:r w:rsidRPr="000B1E13">
              <w:t>David Bullen</w:t>
            </w:r>
          </w:p>
        </w:tc>
        <w:tc>
          <w:tcPr>
            <w:tcW w:w="0" w:type="auto"/>
          </w:tcPr>
          <w:p w14:paraId="0F3C6EF7" w14:textId="4ACF1C2A" w:rsidR="000B1E13" w:rsidRDefault="000B1E13" w:rsidP="00695DDD">
            <w:pPr>
              <w:pStyle w:val="TableTimes"/>
            </w:pPr>
            <w:r>
              <w:t>29-Jan-2025</w:t>
            </w:r>
          </w:p>
        </w:tc>
        <w:tc>
          <w:tcPr>
            <w:tcW w:w="7079" w:type="dxa"/>
          </w:tcPr>
          <w:p w14:paraId="1C79A963" w14:textId="4735DE4E" w:rsidR="000B1E13" w:rsidRDefault="000B1E13" w:rsidP="00695DDD">
            <w:pPr>
              <w:pStyle w:val="TableTimes"/>
            </w:pPr>
            <w:r>
              <w:t>Reviewed and revised and added reference to examples</w:t>
            </w:r>
          </w:p>
        </w:tc>
      </w:tr>
    </w:tbl>
    <w:p w14:paraId="0F122F92" w14:textId="03F4E901" w:rsidR="008D356B" w:rsidRDefault="008D356B" w:rsidP="007A3D2D">
      <w:pPr>
        <w:pStyle w:val="Heading1"/>
      </w:pPr>
      <w:r>
        <w:t>Summary</w:t>
      </w:r>
    </w:p>
    <w:p w14:paraId="143CDC60" w14:textId="77777777" w:rsidR="00910B30" w:rsidRDefault="00910B30" w:rsidP="007B5ACD">
      <w:pPr>
        <w:pStyle w:val="Heading2"/>
      </w:pPr>
      <w:r>
        <w:t>SPD Version</w:t>
      </w:r>
    </w:p>
    <w:p w14:paraId="7DDF1A40" w14:textId="143F62D6" w:rsidR="00910B30" w:rsidRDefault="002B7729" w:rsidP="00910B30">
      <w:r>
        <w:t>New</w:t>
      </w:r>
      <w:r w:rsidR="00910B30">
        <w:t xml:space="preserve"> Version: 46.X.X</w:t>
      </w:r>
    </w:p>
    <w:p w14:paraId="72FEFF1C" w14:textId="77777777" w:rsidR="00910B30" w:rsidRDefault="00910B30" w:rsidP="00910B30">
      <w:r>
        <w:t xml:space="preserve">Current production: </w:t>
      </w:r>
      <w:r w:rsidRPr="00D9744D">
        <w:t>45.</w:t>
      </w:r>
      <w:r>
        <w:t>1</w:t>
      </w:r>
      <w:r w:rsidRPr="00D9744D">
        <w:t>.</w:t>
      </w:r>
      <w:r>
        <w:t>4</w:t>
      </w:r>
    </w:p>
    <w:p w14:paraId="349F3346" w14:textId="621E5D36" w:rsidR="007662B3" w:rsidRDefault="007662B3" w:rsidP="007662B3">
      <w:pPr>
        <w:pStyle w:val="Heading2"/>
      </w:pPr>
      <w:r>
        <w:t>Planned Go Live Date</w:t>
      </w:r>
    </w:p>
    <w:p w14:paraId="50F4FE18" w14:textId="13DE43AE" w:rsidR="007662B3" w:rsidRPr="007662B3" w:rsidRDefault="007662B3" w:rsidP="007662B3">
      <w:pPr>
        <w:rPr>
          <w:lang w:eastAsia="en-GB"/>
        </w:rPr>
      </w:pPr>
      <w:r>
        <w:rPr>
          <w:lang w:eastAsia="en-GB"/>
        </w:rPr>
        <w:t>20-March-2025</w:t>
      </w:r>
    </w:p>
    <w:p w14:paraId="08C8A3B4" w14:textId="69CE3A6E" w:rsidR="00910B30" w:rsidRPr="00910B30" w:rsidRDefault="00910B30" w:rsidP="007B5ACD">
      <w:pPr>
        <w:pStyle w:val="Heading2"/>
      </w:pPr>
      <w:r>
        <w:t>Overview</w:t>
      </w:r>
    </w:p>
    <w:p w14:paraId="3B5E6D9C" w14:textId="3CE4E5E5" w:rsidR="00F95920" w:rsidRDefault="00F95920" w:rsidP="00F95920">
      <w:pPr>
        <w:rPr>
          <w:lang w:eastAsia="en-GB"/>
        </w:rPr>
      </w:pPr>
      <w:r>
        <w:rPr>
          <w:lang w:eastAsia="en-GB"/>
        </w:rPr>
        <w:t>Risk Group</w:t>
      </w:r>
      <w:r w:rsidR="00ED0E88">
        <w:rPr>
          <w:lang w:eastAsia="en-GB"/>
        </w:rPr>
        <w:t xml:space="preserve"> </w:t>
      </w:r>
      <w:r w:rsidR="00AD392F">
        <w:rPr>
          <w:lang w:eastAsia="en-GB"/>
        </w:rPr>
        <w:t>Improved</w:t>
      </w:r>
      <w:r w:rsidR="00ED0E88">
        <w:rPr>
          <w:lang w:eastAsia="en-GB"/>
        </w:rPr>
        <w:t xml:space="preserve"> Input</w:t>
      </w:r>
      <w:r w:rsidR="00AD392F">
        <w:rPr>
          <w:lang w:eastAsia="en-GB"/>
        </w:rPr>
        <w:t xml:space="preserve"> Model</w:t>
      </w:r>
    </w:p>
    <w:p w14:paraId="0DA97B5E" w14:textId="1A0F935C" w:rsidR="00F95920" w:rsidRDefault="007110D7" w:rsidP="00F95920">
      <w:pPr>
        <w:pStyle w:val="ListParagraph"/>
        <w:numPr>
          <w:ilvl w:val="0"/>
          <w:numId w:val="38"/>
        </w:numPr>
        <w:rPr>
          <w:lang w:eastAsia="en-GB"/>
        </w:rPr>
      </w:pPr>
      <w:r>
        <w:rPr>
          <w:lang w:eastAsia="en-GB"/>
        </w:rPr>
        <w:t>Risk group inputs moved from UnitRisk to n</w:t>
      </w:r>
      <w:r w:rsidR="002B7729">
        <w:rPr>
          <w:lang w:eastAsia="en-GB"/>
        </w:rPr>
        <w:t>ew</w:t>
      </w:r>
      <w:r w:rsidR="0003605D">
        <w:rPr>
          <w:lang w:eastAsia="en-GB"/>
        </w:rPr>
        <w:t xml:space="preserve"> input </w:t>
      </w:r>
      <w:r w:rsidR="002B7729">
        <w:rPr>
          <w:lang w:eastAsia="en-GB"/>
        </w:rPr>
        <w:t>sections</w:t>
      </w:r>
    </w:p>
    <w:p w14:paraId="499275D5" w14:textId="2C37F917" w:rsidR="00F95920" w:rsidRDefault="00C23F6C" w:rsidP="00F95920">
      <w:pPr>
        <w:rPr>
          <w:lang w:eastAsia="en-GB"/>
        </w:rPr>
      </w:pPr>
      <w:r>
        <w:rPr>
          <w:lang w:eastAsia="en-GB"/>
        </w:rPr>
        <w:t xml:space="preserve">Add </w:t>
      </w:r>
      <w:r w:rsidR="00F95920">
        <w:rPr>
          <w:lang w:eastAsia="en-GB"/>
        </w:rPr>
        <w:t>Link Risk</w:t>
      </w:r>
    </w:p>
    <w:p w14:paraId="64FAAA46" w14:textId="48735189" w:rsidR="00F95920" w:rsidRDefault="00F95920" w:rsidP="00F95920">
      <w:pPr>
        <w:pStyle w:val="ListParagraph"/>
        <w:numPr>
          <w:ilvl w:val="0"/>
          <w:numId w:val="38"/>
        </w:numPr>
        <w:rPr>
          <w:lang w:eastAsia="en-GB"/>
        </w:rPr>
      </w:pPr>
      <w:r>
        <w:rPr>
          <w:lang w:eastAsia="en-GB"/>
        </w:rPr>
        <w:t>New input</w:t>
      </w:r>
      <w:r w:rsidR="002B7729">
        <w:rPr>
          <w:lang w:eastAsia="en-GB"/>
        </w:rPr>
        <w:t xml:space="preserve"> sections</w:t>
      </w:r>
      <w:r w:rsidR="007110D7">
        <w:rPr>
          <w:lang w:eastAsia="en-GB"/>
        </w:rPr>
        <w:t xml:space="preserve"> for link risk</w:t>
      </w:r>
    </w:p>
    <w:p w14:paraId="711078F2" w14:textId="348F09A7" w:rsidR="00DB7887" w:rsidRDefault="00DB7887" w:rsidP="00F95920">
      <w:pPr>
        <w:pStyle w:val="ListParagraph"/>
        <w:numPr>
          <w:ilvl w:val="0"/>
          <w:numId w:val="38"/>
        </w:numPr>
        <w:rPr>
          <w:lang w:eastAsia="en-GB"/>
        </w:rPr>
      </w:pPr>
      <w:r>
        <w:rPr>
          <w:lang w:eastAsia="en-GB"/>
        </w:rPr>
        <w:t>New output</w:t>
      </w:r>
      <w:r w:rsidR="00C070BA">
        <w:rPr>
          <w:lang w:eastAsia="en-GB"/>
        </w:rPr>
        <w:t xml:space="preserve"> section</w:t>
      </w:r>
      <w:r w:rsidR="007110D7">
        <w:rPr>
          <w:lang w:eastAsia="en-GB"/>
        </w:rPr>
        <w:t xml:space="preserve"> for link risk</w:t>
      </w:r>
    </w:p>
    <w:p w14:paraId="28D6438B" w14:textId="460D1C90" w:rsidR="00320E62" w:rsidRDefault="00320E62" w:rsidP="00320E62">
      <w:pPr>
        <w:pStyle w:val="ListParagraph"/>
        <w:numPr>
          <w:ilvl w:val="0"/>
          <w:numId w:val="38"/>
        </w:numPr>
        <w:rPr>
          <w:lang w:eastAsia="en-GB"/>
        </w:rPr>
      </w:pPr>
      <w:r>
        <w:rPr>
          <w:lang w:eastAsia="en-GB"/>
        </w:rPr>
        <w:t>New variables and constraints</w:t>
      </w:r>
      <w:r w:rsidR="007110D7">
        <w:rPr>
          <w:lang w:eastAsia="en-GB"/>
        </w:rPr>
        <w:t xml:space="preserve"> to model link risk</w:t>
      </w:r>
      <w:r w:rsidR="006A236F">
        <w:rPr>
          <w:lang w:eastAsia="en-GB"/>
        </w:rPr>
        <w:t xml:space="preserve"> (formulation change)</w:t>
      </w:r>
    </w:p>
    <w:p w14:paraId="63C5ADEF" w14:textId="77777777" w:rsidR="00F0257D" w:rsidRDefault="00F0257D" w:rsidP="00F0257D">
      <w:pPr>
        <w:rPr>
          <w:lang w:eastAsia="en-GB"/>
        </w:rPr>
      </w:pPr>
      <w:r>
        <w:rPr>
          <w:lang w:eastAsia="en-GB"/>
        </w:rPr>
        <w:t>Commissioning Risk</w:t>
      </w:r>
    </w:p>
    <w:p w14:paraId="31AE83D0" w14:textId="400CDB7F" w:rsidR="00F0257D" w:rsidRDefault="00F0257D" w:rsidP="00F0257D">
      <w:pPr>
        <w:pStyle w:val="ListParagraph"/>
        <w:numPr>
          <w:ilvl w:val="0"/>
          <w:numId w:val="38"/>
        </w:numPr>
        <w:rPr>
          <w:lang w:eastAsia="en-GB"/>
        </w:rPr>
      </w:pPr>
      <w:r>
        <w:rPr>
          <w:lang w:eastAsia="en-GB"/>
        </w:rPr>
        <w:t xml:space="preserve">New </w:t>
      </w:r>
      <w:r w:rsidR="00210B54">
        <w:rPr>
          <w:lang w:eastAsia="en-GB"/>
        </w:rPr>
        <w:t>fields</w:t>
      </w:r>
      <w:r w:rsidR="002B7729">
        <w:rPr>
          <w:lang w:eastAsia="en-GB"/>
        </w:rPr>
        <w:t xml:space="preserve"> in existing </w:t>
      </w:r>
      <w:r w:rsidR="007110D7">
        <w:rPr>
          <w:lang w:eastAsia="en-GB"/>
        </w:rPr>
        <w:t xml:space="preserve">UnitData </w:t>
      </w:r>
      <w:r w:rsidR="00210B54">
        <w:rPr>
          <w:lang w:eastAsia="en-GB"/>
        </w:rPr>
        <w:t xml:space="preserve">input </w:t>
      </w:r>
      <w:r w:rsidR="002B7729">
        <w:rPr>
          <w:lang w:eastAsia="en-GB"/>
        </w:rPr>
        <w:t>section</w:t>
      </w:r>
    </w:p>
    <w:p w14:paraId="0F03A22D" w14:textId="10B62F76" w:rsidR="00F0257D" w:rsidRDefault="00F0257D" w:rsidP="00F0257D">
      <w:pPr>
        <w:pStyle w:val="ListParagraph"/>
        <w:numPr>
          <w:ilvl w:val="0"/>
          <w:numId w:val="38"/>
        </w:numPr>
        <w:rPr>
          <w:lang w:eastAsia="en-GB"/>
        </w:rPr>
      </w:pPr>
      <w:r>
        <w:rPr>
          <w:lang w:eastAsia="en-GB"/>
        </w:rPr>
        <w:t xml:space="preserve">New </w:t>
      </w:r>
      <w:r w:rsidR="00210B54">
        <w:rPr>
          <w:lang w:eastAsia="en-GB"/>
        </w:rPr>
        <w:t>fields</w:t>
      </w:r>
      <w:r w:rsidR="002B7729">
        <w:rPr>
          <w:lang w:eastAsia="en-GB"/>
        </w:rPr>
        <w:t xml:space="preserve"> in existing </w:t>
      </w:r>
      <w:r w:rsidR="00210B54">
        <w:rPr>
          <w:lang w:eastAsia="en-GB"/>
        </w:rPr>
        <w:t xml:space="preserve">output </w:t>
      </w:r>
      <w:r w:rsidR="002B7729">
        <w:rPr>
          <w:lang w:eastAsia="en-GB"/>
        </w:rPr>
        <w:t>sections</w:t>
      </w:r>
      <w:r w:rsidR="007110D7">
        <w:rPr>
          <w:lang w:eastAsia="en-GB"/>
        </w:rPr>
        <w:t xml:space="preserve"> Island and Pnode</w:t>
      </w:r>
    </w:p>
    <w:p w14:paraId="19714322" w14:textId="0A4C9E53" w:rsidR="00F0257D" w:rsidRDefault="006A236F" w:rsidP="00F0257D">
      <w:pPr>
        <w:pStyle w:val="ListParagraph"/>
        <w:numPr>
          <w:ilvl w:val="0"/>
          <w:numId w:val="38"/>
        </w:numPr>
        <w:rPr>
          <w:lang w:eastAsia="en-GB"/>
        </w:rPr>
      </w:pPr>
      <w:r>
        <w:rPr>
          <w:lang w:eastAsia="en-GB"/>
        </w:rPr>
        <w:t>R</w:t>
      </w:r>
      <w:r w:rsidR="00F0257D">
        <w:rPr>
          <w:lang w:eastAsia="en-GB"/>
        </w:rPr>
        <w:t>isk adjustment: Change to existing</w:t>
      </w:r>
      <w:r w:rsidR="007110D7">
        <w:rPr>
          <w:lang w:eastAsia="en-GB"/>
        </w:rPr>
        <w:t xml:space="preserve"> risk</w:t>
      </w:r>
      <w:r w:rsidR="00F0257D">
        <w:rPr>
          <w:lang w:eastAsia="en-GB"/>
        </w:rPr>
        <w:t xml:space="preserve"> constraints</w:t>
      </w:r>
      <w:r w:rsidR="002B7729">
        <w:rPr>
          <w:lang w:eastAsia="en-GB"/>
        </w:rPr>
        <w:t xml:space="preserve"> (formulation change)</w:t>
      </w:r>
    </w:p>
    <w:p w14:paraId="29293E54" w14:textId="2E15AE22" w:rsidR="00F0257D" w:rsidRDefault="00F0257D" w:rsidP="002B7729">
      <w:pPr>
        <w:pStyle w:val="ListParagraph"/>
        <w:numPr>
          <w:ilvl w:val="0"/>
          <w:numId w:val="38"/>
        </w:numPr>
        <w:rPr>
          <w:lang w:eastAsia="en-GB"/>
        </w:rPr>
      </w:pPr>
      <w:r>
        <w:rPr>
          <w:lang w:eastAsia="en-GB"/>
        </w:rPr>
        <w:t>Zero</w:t>
      </w:r>
      <w:r w:rsidR="00904F60">
        <w:rPr>
          <w:lang w:eastAsia="en-GB"/>
        </w:rPr>
        <w:t xml:space="preserve">ing </w:t>
      </w:r>
      <w:r>
        <w:rPr>
          <w:lang w:eastAsia="en-GB"/>
        </w:rPr>
        <w:t>reserve</w:t>
      </w:r>
      <w:r w:rsidR="006A236F">
        <w:rPr>
          <w:lang w:eastAsia="en-GB"/>
        </w:rPr>
        <w:t xml:space="preserve"> offers</w:t>
      </w:r>
      <w:r w:rsidR="005C443D">
        <w:rPr>
          <w:lang w:eastAsia="en-GB"/>
        </w:rPr>
        <w:t xml:space="preserve"> on commissioning risk</w:t>
      </w:r>
      <w:r>
        <w:rPr>
          <w:lang w:eastAsia="en-GB"/>
        </w:rPr>
        <w:t>: Change to pre-processing</w:t>
      </w:r>
      <w:r w:rsidR="002B7729">
        <w:rPr>
          <w:lang w:eastAsia="en-GB"/>
        </w:rPr>
        <w:t xml:space="preserve"> (formulation change)</w:t>
      </w:r>
    </w:p>
    <w:p w14:paraId="4CC8E406" w14:textId="1DFA2356" w:rsidR="00DB7887" w:rsidRDefault="00DB7887" w:rsidP="00DB7887">
      <w:pPr>
        <w:rPr>
          <w:lang w:eastAsia="en-GB"/>
        </w:rPr>
      </w:pPr>
      <w:r>
        <w:rPr>
          <w:lang w:eastAsia="en-GB"/>
        </w:rPr>
        <w:t>Manual Risk Reporting</w:t>
      </w:r>
    </w:p>
    <w:p w14:paraId="11C37FB8" w14:textId="24AF4A8C" w:rsidR="00DB7887" w:rsidRDefault="00DB7887" w:rsidP="00DB7887">
      <w:pPr>
        <w:pStyle w:val="ListParagraph"/>
        <w:numPr>
          <w:ilvl w:val="0"/>
          <w:numId w:val="38"/>
        </w:numPr>
        <w:rPr>
          <w:lang w:eastAsia="en-GB"/>
        </w:rPr>
      </w:pPr>
      <w:r>
        <w:rPr>
          <w:lang w:eastAsia="en-GB"/>
        </w:rPr>
        <w:t xml:space="preserve">New </w:t>
      </w:r>
      <w:r w:rsidR="00210B54">
        <w:rPr>
          <w:lang w:eastAsia="en-GB"/>
        </w:rPr>
        <w:t xml:space="preserve">fields in </w:t>
      </w:r>
      <w:r w:rsidR="007110D7">
        <w:rPr>
          <w:lang w:eastAsia="en-GB"/>
        </w:rPr>
        <w:t xml:space="preserve">RiskParamSchedule </w:t>
      </w:r>
      <w:r w:rsidR="00210B54">
        <w:rPr>
          <w:lang w:eastAsia="en-GB"/>
        </w:rPr>
        <w:t>existing input section</w:t>
      </w:r>
    </w:p>
    <w:p w14:paraId="346F6C4D" w14:textId="72284DBA" w:rsidR="00DB7887" w:rsidRDefault="006C2CF8" w:rsidP="00DB7887">
      <w:pPr>
        <w:pStyle w:val="ListParagraph"/>
        <w:numPr>
          <w:ilvl w:val="0"/>
          <w:numId w:val="38"/>
        </w:numPr>
        <w:rPr>
          <w:lang w:eastAsia="en-GB"/>
        </w:rPr>
      </w:pPr>
      <w:r>
        <w:rPr>
          <w:lang w:eastAsia="en-GB"/>
        </w:rPr>
        <w:t xml:space="preserve">Changes to </w:t>
      </w:r>
      <w:r w:rsidR="00210B54">
        <w:rPr>
          <w:lang w:eastAsia="en-GB"/>
        </w:rPr>
        <w:t xml:space="preserve">data in </w:t>
      </w:r>
      <w:r>
        <w:rPr>
          <w:lang w:eastAsia="en-GB"/>
        </w:rPr>
        <w:t xml:space="preserve">existing </w:t>
      </w:r>
      <w:r w:rsidR="00210B54">
        <w:rPr>
          <w:lang w:eastAsia="en-GB"/>
        </w:rPr>
        <w:t>fields</w:t>
      </w:r>
      <w:r w:rsidR="007110D7">
        <w:rPr>
          <w:lang w:eastAsia="en-GB"/>
        </w:rPr>
        <w:t xml:space="preserve"> in output section Island</w:t>
      </w:r>
    </w:p>
    <w:p w14:paraId="59D8BFE4" w14:textId="6DB68D35" w:rsidR="006C2CF8" w:rsidRDefault="00210B54" w:rsidP="006C2CF8">
      <w:pPr>
        <w:rPr>
          <w:lang w:eastAsia="en-GB"/>
        </w:rPr>
      </w:pPr>
      <w:r>
        <w:rPr>
          <w:lang w:eastAsia="en-GB"/>
        </w:rPr>
        <w:t>Risk Setter Reporting</w:t>
      </w:r>
    </w:p>
    <w:p w14:paraId="1448295C" w14:textId="6C2C7E9A" w:rsidR="0090661E" w:rsidRDefault="0090661E" w:rsidP="006C2CF8">
      <w:pPr>
        <w:pStyle w:val="ListParagraph"/>
        <w:numPr>
          <w:ilvl w:val="0"/>
          <w:numId w:val="38"/>
        </w:numPr>
        <w:rPr>
          <w:lang w:eastAsia="en-GB"/>
        </w:rPr>
      </w:pPr>
      <w:r>
        <w:t xml:space="preserve">New </w:t>
      </w:r>
      <w:r w:rsidR="00210B54">
        <w:t>fields</w:t>
      </w:r>
      <w:r>
        <w:t xml:space="preserve"> in </w:t>
      </w:r>
      <w:r w:rsidR="006A1569">
        <w:t>existing</w:t>
      </w:r>
      <w:r>
        <w:t xml:space="preserve"> </w:t>
      </w:r>
      <w:r w:rsidR="00210B54">
        <w:t xml:space="preserve">output </w:t>
      </w:r>
      <w:r>
        <w:t>section</w:t>
      </w:r>
      <w:r w:rsidR="007110D7">
        <w:t xml:space="preserve"> RiskSetter</w:t>
      </w:r>
    </w:p>
    <w:p w14:paraId="05E6D40A" w14:textId="7D200DCA" w:rsidR="00ED0E88" w:rsidRDefault="00ED0E88" w:rsidP="007A3D2D">
      <w:pPr>
        <w:pStyle w:val="Heading1"/>
      </w:pPr>
      <w:r>
        <w:t xml:space="preserve">Risk Group </w:t>
      </w:r>
      <w:r w:rsidR="00AD392F">
        <w:t>Improved</w:t>
      </w:r>
      <w:r>
        <w:t xml:space="preserve"> Input</w:t>
      </w:r>
      <w:r w:rsidR="00AD392F">
        <w:t xml:space="preserve"> Model</w:t>
      </w:r>
    </w:p>
    <w:p w14:paraId="30170351" w14:textId="18A16D22" w:rsidR="001726A8" w:rsidRDefault="001726A8" w:rsidP="007B5ACD">
      <w:pPr>
        <w:pStyle w:val="Heading2"/>
      </w:pPr>
      <w:r>
        <w:t>Overview</w:t>
      </w:r>
    </w:p>
    <w:p w14:paraId="1C7BB2A1" w14:textId="5FBB50C8" w:rsidR="001726A8" w:rsidRDefault="001726A8" w:rsidP="001726A8">
      <w:r>
        <w:t>Currently a unit is assigned to a risk group by the CE and ECE risk ID columns in DAILY.UNITDATA:</w:t>
      </w:r>
    </w:p>
    <w:p w14:paraId="50809EA2" w14:textId="77777777" w:rsidR="001726A8" w:rsidRPr="001C34B9" w:rsidRDefault="001726A8" w:rsidP="001726A8">
      <w:pPr>
        <w:rPr>
          <w:sz w:val="20"/>
          <w:szCs w:val="18"/>
        </w:rPr>
      </w:pPr>
      <w:r w:rsidRPr="001C34B9">
        <w:rPr>
          <w:sz w:val="20"/>
          <w:szCs w:val="18"/>
        </w:rPr>
        <w:t>INTERVAL</w:t>
      </w:r>
    </w:p>
    <w:p w14:paraId="71528603" w14:textId="77777777" w:rsidR="001726A8" w:rsidRPr="001C34B9" w:rsidRDefault="001726A8" w:rsidP="001726A8">
      <w:pPr>
        <w:rPr>
          <w:sz w:val="20"/>
          <w:szCs w:val="18"/>
        </w:rPr>
      </w:pPr>
      <w:r w:rsidRPr="001C34B9">
        <w:rPr>
          <w:sz w:val="20"/>
          <w:szCs w:val="18"/>
        </w:rPr>
        <w:t>PNODENAME</w:t>
      </w:r>
    </w:p>
    <w:p w14:paraId="05EC2724" w14:textId="77777777" w:rsidR="001726A8" w:rsidRPr="001C34B9" w:rsidRDefault="001726A8" w:rsidP="001726A8">
      <w:pPr>
        <w:rPr>
          <w:sz w:val="20"/>
          <w:szCs w:val="18"/>
        </w:rPr>
      </w:pPr>
      <w:r w:rsidRPr="001C34B9">
        <w:rPr>
          <w:sz w:val="20"/>
          <w:szCs w:val="18"/>
        </w:rPr>
        <w:t>UNITID</w:t>
      </w:r>
    </w:p>
    <w:p w14:paraId="4FA641E8" w14:textId="77777777" w:rsidR="001726A8" w:rsidRPr="001C34B9" w:rsidRDefault="001726A8" w:rsidP="001726A8">
      <w:pPr>
        <w:rPr>
          <w:sz w:val="20"/>
          <w:szCs w:val="18"/>
        </w:rPr>
      </w:pPr>
      <w:r w:rsidRPr="001C34B9">
        <w:rPr>
          <w:sz w:val="20"/>
          <w:szCs w:val="18"/>
        </w:rPr>
        <w:t>SETRISK</w:t>
      </w:r>
    </w:p>
    <w:p w14:paraId="383B331B" w14:textId="77777777" w:rsidR="001726A8" w:rsidRPr="001C34B9" w:rsidRDefault="001726A8" w:rsidP="001726A8">
      <w:pPr>
        <w:rPr>
          <w:sz w:val="20"/>
          <w:szCs w:val="18"/>
        </w:rPr>
      </w:pPr>
      <w:r w:rsidRPr="001C34B9">
        <w:rPr>
          <w:sz w:val="20"/>
          <w:szCs w:val="18"/>
        </w:rPr>
        <w:t>ISPRIMARYNODE</w:t>
      </w:r>
    </w:p>
    <w:p w14:paraId="522453C5" w14:textId="77777777" w:rsidR="001726A8" w:rsidRPr="001C34B9" w:rsidRDefault="001726A8" w:rsidP="001726A8">
      <w:pPr>
        <w:rPr>
          <w:sz w:val="20"/>
          <w:szCs w:val="18"/>
        </w:rPr>
      </w:pPr>
      <w:r w:rsidRPr="001C34B9">
        <w:rPr>
          <w:sz w:val="20"/>
          <w:szCs w:val="18"/>
        </w:rPr>
        <w:t>ISIG</w:t>
      </w:r>
    </w:p>
    <w:p w14:paraId="56AE98E9" w14:textId="77777777" w:rsidR="001726A8" w:rsidRPr="001C34B9" w:rsidRDefault="001726A8" w:rsidP="001726A8">
      <w:pPr>
        <w:rPr>
          <w:sz w:val="20"/>
          <w:szCs w:val="18"/>
        </w:rPr>
      </w:pPr>
      <w:r w:rsidRPr="001C34B9">
        <w:rPr>
          <w:sz w:val="20"/>
          <w:szCs w:val="18"/>
        </w:rPr>
        <w:lastRenderedPageBreak/>
        <w:t>FKBANDMW</w:t>
      </w:r>
    </w:p>
    <w:p w14:paraId="032D1583" w14:textId="77777777" w:rsidR="001726A8" w:rsidRPr="001C34B9" w:rsidRDefault="001726A8" w:rsidP="001726A8">
      <w:pPr>
        <w:rPr>
          <w:sz w:val="20"/>
          <w:szCs w:val="18"/>
          <w:highlight w:val="cyan"/>
        </w:rPr>
      </w:pPr>
      <w:r w:rsidRPr="001C34B9">
        <w:rPr>
          <w:sz w:val="20"/>
          <w:szCs w:val="18"/>
          <w:highlight w:val="cyan"/>
        </w:rPr>
        <w:t>ACRISKIDCE</w:t>
      </w:r>
    </w:p>
    <w:p w14:paraId="739F0785" w14:textId="77777777" w:rsidR="001726A8" w:rsidRPr="001C34B9" w:rsidRDefault="001726A8" w:rsidP="001726A8">
      <w:pPr>
        <w:rPr>
          <w:sz w:val="20"/>
          <w:szCs w:val="18"/>
        </w:rPr>
      </w:pPr>
      <w:r w:rsidRPr="001C34B9">
        <w:rPr>
          <w:sz w:val="20"/>
          <w:szCs w:val="18"/>
          <w:highlight w:val="cyan"/>
        </w:rPr>
        <w:t>ACRISKIDECE</w:t>
      </w:r>
    </w:p>
    <w:p w14:paraId="36F07DB8" w14:textId="77777777" w:rsidR="001726A8" w:rsidRPr="001C34B9" w:rsidRDefault="001726A8" w:rsidP="001726A8">
      <w:pPr>
        <w:rPr>
          <w:sz w:val="20"/>
          <w:szCs w:val="18"/>
        </w:rPr>
      </w:pPr>
      <w:r w:rsidRPr="001C34B9">
        <w:rPr>
          <w:sz w:val="20"/>
          <w:szCs w:val="18"/>
        </w:rPr>
        <w:t>ISPRICERESPONSIVEIG</w:t>
      </w:r>
    </w:p>
    <w:p w14:paraId="4313C4C0" w14:textId="40F41C1D" w:rsidR="001726A8" w:rsidRDefault="001726A8" w:rsidP="001726A8">
      <w:pPr>
        <w:spacing w:before="240"/>
        <w:contextualSpacing w:val="0"/>
      </w:pPr>
      <w:r>
        <w:t xml:space="preserve">This existing </w:t>
      </w:r>
      <w:r w:rsidR="002B7729">
        <w:t>input</w:t>
      </w:r>
      <w:r>
        <w:t xml:space="preserve"> </w:t>
      </w:r>
      <w:r w:rsidR="00E22839">
        <w:t xml:space="preserve">prevents a </w:t>
      </w:r>
      <w:r w:rsidR="006A236F">
        <w:t>unit</w:t>
      </w:r>
      <w:r>
        <w:t xml:space="preserve"> </w:t>
      </w:r>
      <w:r w:rsidR="00E22839">
        <w:t xml:space="preserve">from being </w:t>
      </w:r>
      <w:r>
        <w:t xml:space="preserve">in </w:t>
      </w:r>
      <w:r w:rsidR="00E22839">
        <w:t xml:space="preserve">more than </w:t>
      </w:r>
      <w:r>
        <w:t xml:space="preserve">one risk group. </w:t>
      </w:r>
      <w:r w:rsidR="006A236F">
        <w:t>Because t</w:t>
      </w:r>
      <w:r>
        <w:t>here are windfarms that need to be modelled in more than one risk group</w:t>
      </w:r>
      <w:r w:rsidR="006A236F">
        <w:t>, t</w:t>
      </w:r>
      <w:r>
        <w:t xml:space="preserve">he risk group </w:t>
      </w:r>
      <w:r w:rsidR="00E22839">
        <w:t>input is being changed</w:t>
      </w:r>
      <w:r w:rsidR="002B7729">
        <w:t>.</w:t>
      </w:r>
    </w:p>
    <w:p w14:paraId="686FC979" w14:textId="0AC01D49" w:rsidR="001726A8" w:rsidRDefault="001726A8" w:rsidP="001726A8">
      <w:r>
        <w:t>The existing input columns (ACRISKIDCE and ACRISKIDECE) will remain in DAILY.UNIT for now</w:t>
      </w:r>
      <w:r w:rsidR="00617F8A">
        <w:t xml:space="preserve"> but will not be populated</w:t>
      </w:r>
      <w:r>
        <w:t xml:space="preserve">. This </w:t>
      </w:r>
      <w:r w:rsidR="002B7729">
        <w:t>will allow for</w:t>
      </w:r>
      <w:r>
        <w:t xml:space="preserve"> regression testing, i.e., new cases will </w:t>
      </w:r>
      <w:r w:rsidR="00AD392F">
        <w:t xml:space="preserve">be able to be </w:t>
      </w:r>
      <w:r>
        <w:t>run in old SPD.</w:t>
      </w:r>
    </w:p>
    <w:p w14:paraId="23910AFD" w14:textId="77777777" w:rsidR="001726A8" w:rsidRDefault="001726A8" w:rsidP="007B5ACD">
      <w:pPr>
        <w:pStyle w:val="Heading2"/>
      </w:pPr>
      <w:r>
        <w:t>New SPD Inputs</w:t>
      </w:r>
    </w:p>
    <w:p w14:paraId="0FC141E0" w14:textId="3984B6D1" w:rsidR="00C23F6C" w:rsidRPr="0028739A" w:rsidRDefault="00AD392F" w:rsidP="00C23F6C">
      <w:r>
        <w:t>Improved</w:t>
      </w:r>
      <w:r w:rsidR="00C23F6C">
        <w:t xml:space="preserve"> modelling of risk group inputs.</w:t>
      </w:r>
    </w:p>
    <w:p w14:paraId="62B66669" w14:textId="2ED9B255" w:rsidR="00C23F6C" w:rsidRDefault="00C23F6C" w:rsidP="00C23F6C">
      <w:r>
        <w:t>New input section</w:t>
      </w:r>
      <w:r w:rsidR="00FE3E67">
        <w:t xml:space="preserve">: </w:t>
      </w:r>
      <w:r>
        <w:t>PERIOD.RISKGROUP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8062"/>
      </w:tblGrid>
      <w:tr w:rsidR="00C23F6C" w:rsidRPr="00B100A0" w14:paraId="13C1CCE3" w14:textId="77777777" w:rsidTr="00556C8C">
        <w:tc>
          <w:tcPr>
            <w:tcW w:w="2405" w:type="dxa"/>
            <w:shd w:val="clear" w:color="auto" w:fill="F2F2F2" w:themeFill="background1" w:themeFillShade="F2"/>
          </w:tcPr>
          <w:p w14:paraId="0A83B3A6" w14:textId="77777777" w:rsidR="00C23F6C" w:rsidRPr="00B100A0" w:rsidRDefault="00C23F6C" w:rsidP="00556C8C">
            <w:pPr>
              <w:rPr>
                <w:sz w:val="20"/>
                <w:szCs w:val="16"/>
              </w:rPr>
            </w:pPr>
            <w:r w:rsidRPr="00B100A0">
              <w:rPr>
                <w:sz w:val="20"/>
                <w:szCs w:val="16"/>
              </w:rPr>
              <w:t>Field</w:t>
            </w:r>
          </w:p>
        </w:tc>
        <w:tc>
          <w:tcPr>
            <w:tcW w:w="8222" w:type="dxa"/>
            <w:shd w:val="clear" w:color="auto" w:fill="F2F2F2" w:themeFill="background1" w:themeFillShade="F2"/>
          </w:tcPr>
          <w:p w14:paraId="798F9130" w14:textId="77777777" w:rsidR="00C23F6C" w:rsidRPr="00B100A0" w:rsidRDefault="00C23F6C" w:rsidP="00556C8C">
            <w:pPr>
              <w:rPr>
                <w:sz w:val="20"/>
                <w:szCs w:val="16"/>
              </w:rPr>
            </w:pPr>
            <w:r w:rsidRPr="00B100A0">
              <w:rPr>
                <w:sz w:val="20"/>
                <w:szCs w:val="16"/>
              </w:rPr>
              <w:t>Description</w:t>
            </w:r>
          </w:p>
        </w:tc>
      </w:tr>
      <w:tr w:rsidR="00C23F6C" w:rsidRPr="00B100A0" w14:paraId="2EF94888" w14:textId="77777777" w:rsidTr="00556C8C">
        <w:tc>
          <w:tcPr>
            <w:tcW w:w="2405" w:type="dxa"/>
          </w:tcPr>
          <w:p w14:paraId="0CDDCA0E" w14:textId="77777777" w:rsidR="00C23F6C" w:rsidRPr="00B100A0" w:rsidRDefault="00C23F6C" w:rsidP="00556C8C">
            <w:pPr>
              <w:rPr>
                <w:sz w:val="20"/>
                <w:szCs w:val="16"/>
                <w:highlight w:val="green"/>
              </w:rPr>
            </w:pPr>
            <w:r w:rsidRPr="00B100A0">
              <w:rPr>
                <w:sz w:val="20"/>
                <w:szCs w:val="16"/>
                <w:highlight w:val="green"/>
              </w:rPr>
              <w:t>INTERVAL</w:t>
            </w:r>
          </w:p>
        </w:tc>
        <w:tc>
          <w:tcPr>
            <w:tcW w:w="8222" w:type="dxa"/>
          </w:tcPr>
          <w:p w14:paraId="339D274B" w14:textId="77777777" w:rsidR="00C23F6C" w:rsidRPr="00B100A0" w:rsidRDefault="00C23F6C" w:rsidP="00556C8C">
            <w:pPr>
              <w:rPr>
                <w:sz w:val="20"/>
                <w:szCs w:val="16"/>
              </w:rPr>
            </w:pPr>
          </w:p>
        </w:tc>
      </w:tr>
      <w:tr w:rsidR="00C23F6C" w:rsidRPr="00B100A0" w14:paraId="1871A778" w14:textId="77777777" w:rsidTr="00556C8C">
        <w:tc>
          <w:tcPr>
            <w:tcW w:w="2405" w:type="dxa"/>
          </w:tcPr>
          <w:p w14:paraId="2C604C8B" w14:textId="77777777" w:rsidR="00C23F6C" w:rsidRPr="00B100A0" w:rsidRDefault="00C23F6C" w:rsidP="00556C8C">
            <w:pPr>
              <w:rPr>
                <w:sz w:val="20"/>
                <w:szCs w:val="16"/>
                <w:highlight w:val="green"/>
              </w:rPr>
            </w:pPr>
            <w:r w:rsidRPr="00B100A0">
              <w:rPr>
                <w:sz w:val="20"/>
                <w:szCs w:val="16"/>
                <w:highlight w:val="green"/>
              </w:rPr>
              <w:t>RISKGROUPID</w:t>
            </w:r>
          </w:p>
        </w:tc>
        <w:tc>
          <w:tcPr>
            <w:tcW w:w="8222" w:type="dxa"/>
          </w:tcPr>
          <w:p w14:paraId="056540C0" w14:textId="77777777" w:rsidR="00C23F6C" w:rsidRPr="00B100A0" w:rsidRDefault="00C23F6C" w:rsidP="00556C8C">
            <w:pPr>
              <w:rPr>
                <w:sz w:val="20"/>
                <w:szCs w:val="16"/>
              </w:rPr>
            </w:pPr>
            <w:r w:rsidRPr="00B100A0">
              <w:rPr>
                <w:sz w:val="20"/>
                <w:szCs w:val="16"/>
              </w:rPr>
              <w:t>AC Risk ID</w:t>
            </w:r>
          </w:p>
        </w:tc>
      </w:tr>
      <w:tr w:rsidR="00C23F6C" w:rsidRPr="00B100A0" w14:paraId="7E42E9AD" w14:textId="77777777" w:rsidTr="00556C8C">
        <w:tc>
          <w:tcPr>
            <w:tcW w:w="2405" w:type="dxa"/>
          </w:tcPr>
          <w:p w14:paraId="5B327664" w14:textId="77777777" w:rsidR="00C23F6C" w:rsidRPr="00B100A0" w:rsidRDefault="00C23F6C" w:rsidP="00556C8C">
            <w:pPr>
              <w:rPr>
                <w:sz w:val="20"/>
                <w:szCs w:val="16"/>
                <w:highlight w:val="green"/>
              </w:rPr>
            </w:pPr>
            <w:r w:rsidRPr="00B100A0">
              <w:rPr>
                <w:sz w:val="20"/>
                <w:szCs w:val="16"/>
                <w:highlight w:val="green"/>
              </w:rPr>
              <w:t>RISKGROUPNAME</w:t>
            </w:r>
          </w:p>
        </w:tc>
        <w:tc>
          <w:tcPr>
            <w:tcW w:w="8222" w:type="dxa"/>
          </w:tcPr>
          <w:p w14:paraId="39F4C554" w14:textId="77777777" w:rsidR="00C23F6C" w:rsidRPr="00B100A0" w:rsidRDefault="00C23F6C" w:rsidP="00556C8C">
            <w:pPr>
              <w:rPr>
                <w:sz w:val="20"/>
                <w:szCs w:val="16"/>
              </w:rPr>
            </w:pPr>
            <w:r w:rsidRPr="00B100A0">
              <w:rPr>
                <w:sz w:val="20"/>
                <w:szCs w:val="16"/>
              </w:rPr>
              <w:t>AC Risk Name</w:t>
            </w:r>
          </w:p>
        </w:tc>
      </w:tr>
      <w:tr w:rsidR="00C23F6C" w:rsidRPr="00B100A0" w14:paraId="765F1A0B" w14:textId="77777777" w:rsidTr="00556C8C">
        <w:tc>
          <w:tcPr>
            <w:tcW w:w="2405" w:type="dxa"/>
          </w:tcPr>
          <w:p w14:paraId="680B7A98" w14:textId="77777777" w:rsidR="00C23F6C" w:rsidRPr="00B100A0" w:rsidRDefault="00C23F6C" w:rsidP="00556C8C">
            <w:pPr>
              <w:rPr>
                <w:sz w:val="20"/>
                <w:szCs w:val="16"/>
                <w:highlight w:val="green"/>
              </w:rPr>
            </w:pPr>
            <w:r w:rsidRPr="00B100A0">
              <w:rPr>
                <w:sz w:val="20"/>
                <w:szCs w:val="16"/>
                <w:highlight w:val="green"/>
              </w:rPr>
              <w:t>RISKTYPE</w:t>
            </w:r>
          </w:p>
        </w:tc>
        <w:tc>
          <w:tcPr>
            <w:tcW w:w="8222" w:type="dxa"/>
          </w:tcPr>
          <w:p w14:paraId="1B6B1707" w14:textId="77777777" w:rsidR="00C23F6C" w:rsidRPr="00B100A0" w:rsidRDefault="00C23F6C" w:rsidP="00556C8C">
            <w:pPr>
              <w:rPr>
                <w:sz w:val="20"/>
                <w:szCs w:val="16"/>
              </w:rPr>
            </w:pPr>
            <w:r w:rsidRPr="00B100A0">
              <w:rPr>
                <w:sz w:val="20"/>
                <w:szCs w:val="16"/>
              </w:rPr>
              <w:t>'CE' , 'ECE' or 'CE+ECE'</w:t>
            </w:r>
          </w:p>
        </w:tc>
      </w:tr>
    </w:tbl>
    <w:p w14:paraId="3977022C" w14:textId="77777777" w:rsidR="00C23F6C" w:rsidRDefault="00C23F6C" w:rsidP="00C23F6C"/>
    <w:p w14:paraId="496677EF" w14:textId="0D5E22FB" w:rsidR="00C23F6C" w:rsidRDefault="00C23F6C" w:rsidP="00C23F6C">
      <w:r>
        <w:t>New input section</w:t>
      </w:r>
      <w:r w:rsidR="00FE3E67">
        <w:t xml:space="preserve">: </w:t>
      </w:r>
      <w:r>
        <w:t>PERIOD.RISKGROUPPNODE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7"/>
        <w:gridCol w:w="8069"/>
      </w:tblGrid>
      <w:tr w:rsidR="00C23F6C" w:rsidRPr="00B100A0" w14:paraId="4D3CD13F" w14:textId="77777777" w:rsidTr="000A4FC3">
        <w:tc>
          <w:tcPr>
            <w:tcW w:w="2387" w:type="dxa"/>
            <w:shd w:val="clear" w:color="auto" w:fill="F2F2F2" w:themeFill="background1" w:themeFillShade="F2"/>
          </w:tcPr>
          <w:p w14:paraId="7B13DADF" w14:textId="77777777" w:rsidR="00C23F6C" w:rsidRPr="00B100A0" w:rsidRDefault="00C23F6C" w:rsidP="00556C8C">
            <w:pPr>
              <w:rPr>
                <w:sz w:val="20"/>
                <w:szCs w:val="16"/>
              </w:rPr>
            </w:pPr>
            <w:r w:rsidRPr="00B100A0">
              <w:rPr>
                <w:sz w:val="20"/>
                <w:szCs w:val="16"/>
              </w:rPr>
              <w:t>Field</w:t>
            </w:r>
          </w:p>
        </w:tc>
        <w:tc>
          <w:tcPr>
            <w:tcW w:w="8069" w:type="dxa"/>
            <w:shd w:val="clear" w:color="auto" w:fill="F2F2F2" w:themeFill="background1" w:themeFillShade="F2"/>
          </w:tcPr>
          <w:p w14:paraId="43C08F0D" w14:textId="77777777" w:rsidR="00C23F6C" w:rsidRPr="00B100A0" w:rsidRDefault="00C23F6C" w:rsidP="00556C8C">
            <w:pPr>
              <w:rPr>
                <w:sz w:val="20"/>
                <w:szCs w:val="16"/>
              </w:rPr>
            </w:pPr>
            <w:r w:rsidRPr="00B100A0">
              <w:rPr>
                <w:sz w:val="20"/>
                <w:szCs w:val="16"/>
              </w:rPr>
              <w:t>Description</w:t>
            </w:r>
          </w:p>
        </w:tc>
      </w:tr>
      <w:tr w:rsidR="00C23F6C" w:rsidRPr="00B100A0" w14:paraId="7C0F6943" w14:textId="77777777" w:rsidTr="000A4FC3">
        <w:tc>
          <w:tcPr>
            <w:tcW w:w="2387" w:type="dxa"/>
          </w:tcPr>
          <w:p w14:paraId="31342A77" w14:textId="77777777" w:rsidR="00C23F6C" w:rsidRPr="00B100A0" w:rsidRDefault="00C23F6C" w:rsidP="00556C8C">
            <w:pPr>
              <w:rPr>
                <w:sz w:val="20"/>
                <w:szCs w:val="16"/>
                <w:highlight w:val="green"/>
              </w:rPr>
            </w:pPr>
            <w:r w:rsidRPr="00B100A0">
              <w:rPr>
                <w:sz w:val="20"/>
                <w:szCs w:val="16"/>
                <w:highlight w:val="green"/>
              </w:rPr>
              <w:t>INTERVAL</w:t>
            </w:r>
          </w:p>
        </w:tc>
        <w:tc>
          <w:tcPr>
            <w:tcW w:w="8069" w:type="dxa"/>
          </w:tcPr>
          <w:p w14:paraId="394DE322" w14:textId="77777777" w:rsidR="00C23F6C" w:rsidRPr="00B100A0" w:rsidRDefault="00C23F6C" w:rsidP="00556C8C">
            <w:pPr>
              <w:rPr>
                <w:sz w:val="20"/>
                <w:szCs w:val="16"/>
              </w:rPr>
            </w:pPr>
          </w:p>
        </w:tc>
      </w:tr>
      <w:tr w:rsidR="00C23F6C" w:rsidRPr="00B100A0" w14:paraId="4F5AC1B4" w14:textId="77777777" w:rsidTr="000A4FC3">
        <w:tc>
          <w:tcPr>
            <w:tcW w:w="2387" w:type="dxa"/>
          </w:tcPr>
          <w:p w14:paraId="76462E57" w14:textId="77777777" w:rsidR="00C23F6C" w:rsidRPr="00B100A0" w:rsidRDefault="00C23F6C" w:rsidP="00556C8C">
            <w:pPr>
              <w:rPr>
                <w:sz w:val="20"/>
                <w:szCs w:val="16"/>
                <w:highlight w:val="green"/>
              </w:rPr>
            </w:pPr>
            <w:r w:rsidRPr="00B100A0">
              <w:rPr>
                <w:sz w:val="20"/>
                <w:szCs w:val="16"/>
                <w:highlight w:val="green"/>
              </w:rPr>
              <w:t>RISKGROUPID</w:t>
            </w:r>
          </w:p>
        </w:tc>
        <w:tc>
          <w:tcPr>
            <w:tcW w:w="8069" w:type="dxa"/>
          </w:tcPr>
          <w:p w14:paraId="7D6CBB4F" w14:textId="77777777" w:rsidR="00C23F6C" w:rsidRPr="00B100A0" w:rsidRDefault="00C23F6C" w:rsidP="00556C8C">
            <w:pPr>
              <w:rPr>
                <w:sz w:val="20"/>
                <w:szCs w:val="16"/>
              </w:rPr>
            </w:pPr>
            <w:r w:rsidRPr="00B100A0">
              <w:rPr>
                <w:sz w:val="20"/>
                <w:szCs w:val="16"/>
              </w:rPr>
              <w:t>AC Risk ID</w:t>
            </w:r>
          </w:p>
        </w:tc>
      </w:tr>
      <w:tr w:rsidR="00C23F6C" w:rsidRPr="00B100A0" w14:paraId="74896FA5" w14:textId="77777777" w:rsidTr="000A4FC3">
        <w:tc>
          <w:tcPr>
            <w:tcW w:w="2387" w:type="dxa"/>
          </w:tcPr>
          <w:p w14:paraId="67C607E8" w14:textId="77777777" w:rsidR="00C23F6C" w:rsidRPr="00B100A0" w:rsidRDefault="00C23F6C" w:rsidP="00556C8C">
            <w:pPr>
              <w:rPr>
                <w:sz w:val="20"/>
                <w:szCs w:val="16"/>
                <w:highlight w:val="green"/>
              </w:rPr>
            </w:pPr>
            <w:r w:rsidRPr="00B100A0">
              <w:rPr>
                <w:sz w:val="20"/>
                <w:szCs w:val="16"/>
                <w:highlight w:val="green"/>
              </w:rPr>
              <w:t>PNODENAME</w:t>
            </w:r>
          </w:p>
        </w:tc>
        <w:tc>
          <w:tcPr>
            <w:tcW w:w="8069" w:type="dxa"/>
          </w:tcPr>
          <w:p w14:paraId="332A303D" w14:textId="743A1EC5" w:rsidR="00C23F6C" w:rsidRPr="00B100A0" w:rsidRDefault="00C23F6C" w:rsidP="00556C8C">
            <w:pPr>
              <w:rPr>
                <w:sz w:val="20"/>
                <w:szCs w:val="16"/>
              </w:rPr>
            </w:pPr>
            <w:r w:rsidRPr="00B100A0">
              <w:rPr>
                <w:sz w:val="20"/>
                <w:szCs w:val="16"/>
              </w:rPr>
              <w:t xml:space="preserve">Pnodename of generator in risk </w:t>
            </w:r>
            <w:r w:rsidR="00C869DC">
              <w:rPr>
                <w:sz w:val="20"/>
                <w:szCs w:val="16"/>
              </w:rPr>
              <w:t>group or link risk</w:t>
            </w:r>
          </w:p>
        </w:tc>
      </w:tr>
    </w:tbl>
    <w:p w14:paraId="3D25A618" w14:textId="77777777" w:rsidR="000A4FC3" w:rsidRDefault="000A4FC3" w:rsidP="007B5ACD">
      <w:pPr>
        <w:pStyle w:val="Heading2"/>
      </w:pPr>
      <w:r>
        <w:t>Example case</w:t>
      </w:r>
    </w:p>
    <w:p w14:paraId="6861B8B0" w14:textId="497A7524" w:rsidR="000A4FC3" w:rsidRDefault="000A4FC3" w:rsidP="000A4FC3">
      <w:pPr>
        <w:rPr>
          <w:lang w:eastAsia="en-GB"/>
        </w:rPr>
      </w:pPr>
      <w:r>
        <w:t>10:00 New input format</w:t>
      </w:r>
      <w:r w:rsidR="006C7A2A">
        <w:t xml:space="preserve"> for risk setting risk group </w:t>
      </w:r>
      <w:r w:rsidR="006C7A2A" w:rsidRPr="006C7A2A">
        <w:t>[TUR0;NZW0;TWF0]</w:t>
      </w:r>
    </w:p>
    <w:p w14:paraId="61AA9639" w14:textId="73B62C8F" w:rsidR="00C23F6C" w:rsidRDefault="00C23F6C" w:rsidP="007A3D2D">
      <w:pPr>
        <w:pStyle w:val="Heading1"/>
      </w:pPr>
      <w:r>
        <w:t>Add Link Risk</w:t>
      </w:r>
    </w:p>
    <w:p w14:paraId="59C90186" w14:textId="76FFB426" w:rsidR="00CF6811" w:rsidRPr="00CF6811" w:rsidRDefault="00CF6811" w:rsidP="007B5ACD">
      <w:pPr>
        <w:pStyle w:val="Heading2"/>
      </w:pPr>
      <w:r>
        <w:t>Overview</w:t>
      </w:r>
    </w:p>
    <w:p w14:paraId="52D72465" w14:textId="3BF4194C" w:rsidR="00C23F6C" w:rsidRDefault="00FE3E67" w:rsidP="00C23F6C">
      <w:pPr>
        <w:contextualSpacing w:val="0"/>
      </w:pPr>
      <w:r>
        <w:t>G</w:t>
      </w:r>
      <w:r w:rsidR="00C23F6C">
        <w:t xml:space="preserve">eneration </w:t>
      </w:r>
      <w:r>
        <w:t xml:space="preserve">export </w:t>
      </w:r>
      <w:r w:rsidR="00C23F6C">
        <w:t xml:space="preserve">from an area can be put at risk by the possibility of losing a branch, e.g., see </w:t>
      </w:r>
      <w:r w:rsidR="00C23F6C">
        <w:fldChar w:fldCharType="begin"/>
      </w:r>
      <w:r w:rsidR="00C23F6C">
        <w:instrText xml:space="preserve"> REF _Ref184976473 \h </w:instrText>
      </w:r>
      <w:r w:rsidR="00C23F6C">
        <w:fldChar w:fldCharType="separate"/>
      </w:r>
      <w:r w:rsidR="00C23F6C">
        <w:t xml:space="preserve">Figure </w:t>
      </w:r>
      <w:r w:rsidR="00C23F6C">
        <w:rPr>
          <w:noProof/>
        </w:rPr>
        <w:t>1</w:t>
      </w:r>
      <w:r w:rsidR="00C23F6C">
        <w:fldChar w:fldCharType="end"/>
      </w:r>
      <w:r w:rsidR="00C23F6C">
        <w:t xml:space="preserve">. </w:t>
      </w:r>
    </w:p>
    <w:p w14:paraId="229C0CC7" w14:textId="77777777" w:rsidR="00C23F6C" w:rsidRDefault="00C23F6C" w:rsidP="00C23F6C">
      <w:pPr>
        <w:keepNext/>
      </w:pPr>
      <w:r>
        <w:rPr>
          <w:noProof/>
        </w:rPr>
        <w:drawing>
          <wp:inline distT="0" distB="0" distL="0" distR="0" wp14:anchorId="4EBEA606" wp14:editId="02F41C8F">
            <wp:extent cx="2695492" cy="1879614"/>
            <wp:effectExtent l="0" t="0" r="0" b="6350"/>
            <wp:docPr id="75516512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65125" name="Picture 1" descr="A diagram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5243" cy="190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ED88" w14:textId="7B7A5D11" w:rsidR="00C23F6C" w:rsidRDefault="00C23F6C" w:rsidP="00C23F6C">
      <w:pPr>
        <w:pStyle w:val="Caption"/>
      </w:pPr>
      <w:bookmarkStart w:id="1" w:name="_Ref18497647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bookmarkEnd w:id="1"/>
      <w:r>
        <w:t xml:space="preserve">: </w:t>
      </w:r>
      <w:r w:rsidR="00AD392F">
        <w:t xml:space="preserve">With TAB_WRK out of service </w:t>
      </w:r>
      <w:r>
        <w:t>Hawkes Bay</w:t>
      </w:r>
      <w:r w:rsidR="00AD392F">
        <w:t xml:space="preserve"> generation export relies on WHI_WRK</w:t>
      </w:r>
    </w:p>
    <w:p w14:paraId="207F5FF0" w14:textId="3A86F2B3" w:rsidR="00C23F6C" w:rsidRDefault="00C23F6C" w:rsidP="00C23F6C">
      <w:pPr>
        <w:contextualSpacing w:val="0"/>
      </w:pPr>
      <w:r>
        <w:t>Currently the only option to account for generation that is at risk due to a branch risk is to add the at-risk generation to a risk group. However</w:t>
      </w:r>
      <w:r w:rsidR="00FE3E67">
        <w:t>,</w:t>
      </w:r>
      <w:r>
        <w:t xml:space="preserve"> this can over-estimate the </w:t>
      </w:r>
      <w:r w:rsidR="00AD392F">
        <w:t xml:space="preserve">link </w:t>
      </w:r>
      <w:r>
        <w:t>risk</w:t>
      </w:r>
      <w:r w:rsidR="00FE3E67">
        <w:t xml:space="preserve"> if</w:t>
      </w:r>
      <w:r>
        <w:t xml:space="preserve"> the load in the area result</w:t>
      </w:r>
      <w:r w:rsidR="00FE3E67">
        <w:t xml:space="preserve">s </w:t>
      </w:r>
      <w:r>
        <w:t xml:space="preserve">in the </w:t>
      </w:r>
      <w:r w:rsidR="00AD392F">
        <w:t>link</w:t>
      </w:r>
      <w:r>
        <w:t xml:space="preserve"> flow being less than the sum of the generation, e.g., see </w:t>
      </w:r>
      <w:r>
        <w:fldChar w:fldCharType="begin"/>
      </w:r>
      <w:r>
        <w:instrText xml:space="preserve"> REF _Ref184977684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>.</w:t>
      </w:r>
    </w:p>
    <w:p w14:paraId="51903262" w14:textId="77777777" w:rsidR="00C23F6C" w:rsidRDefault="00C23F6C" w:rsidP="00C23F6C">
      <w:pPr>
        <w:keepNext/>
        <w:contextualSpacing w:val="0"/>
      </w:pPr>
      <w:r>
        <w:rPr>
          <w:noProof/>
        </w:rPr>
        <w:lastRenderedPageBreak/>
        <w:drawing>
          <wp:inline distT="0" distB="0" distL="0" distR="0" wp14:anchorId="69F84E66" wp14:editId="0EDB923D">
            <wp:extent cx="1916264" cy="1080158"/>
            <wp:effectExtent l="0" t="0" r="8255" b="5715"/>
            <wp:docPr id="2063081015" name="Picture 1" descr="A diagram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81015" name="Picture 1" descr="A diagram of a lin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3941" cy="108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BC49" w14:textId="7B727896" w:rsidR="00C23F6C" w:rsidRDefault="00C23F6C" w:rsidP="00C23F6C">
      <w:pPr>
        <w:pStyle w:val="Caption"/>
      </w:pPr>
      <w:bookmarkStart w:id="2" w:name="_Ref18497768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2</w:t>
      </w:r>
      <w:r>
        <w:fldChar w:fldCharType="end"/>
      </w:r>
      <w:bookmarkEnd w:id="2"/>
      <w:r>
        <w:t xml:space="preserve">: Example of link risk less than </w:t>
      </w:r>
      <w:r w:rsidR="002A0C2F">
        <w:t xml:space="preserve">sum of </w:t>
      </w:r>
      <w:r>
        <w:t>generation</w:t>
      </w:r>
    </w:p>
    <w:p w14:paraId="58E8F876" w14:textId="06948935" w:rsidR="00C23F6C" w:rsidRDefault="00C23F6C" w:rsidP="00C23F6C">
      <w:r>
        <w:t>The change is to</w:t>
      </w:r>
      <w:r w:rsidR="00C869DC">
        <w:t xml:space="preserve"> add link </w:t>
      </w:r>
      <w:r>
        <w:t>risk model</w:t>
      </w:r>
      <w:r w:rsidR="00EB55C4">
        <w:t>ling</w:t>
      </w:r>
      <w:r>
        <w:t>:</w:t>
      </w:r>
    </w:p>
    <w:p w14:paraId="3B7618F5" w14:textId="536C4D76" w:rsidR="002D6DDD" w:rsidRDefault="00C23F6C" w:rsidP="00EB55C4">
      <w:pPr>
        <w:pStyle w:val="ListParagraph"/>
        <w:numPr>
          <w:ilvl w:val="0"/>
          <w:numId w:val="39"/>
        </w:numPr>
      </w:pPr>
      <w:r>
        <w:t xml:space="preserve">If </w:t>
      </w:r>
      <w:r w:rsidR="00152D7A">
        <w:t>a</w:t>
      </w:r>
      <w:r w:rsidR="00E22839">
        <w:t xml:space="preserve"> </w:t>
      </w:r>
      <w:r>
        <w:t xml:space="preserve">risk group </w:t>
      </w:r>
      <w:r w:rsidR="00E22839">
        <w:t xml:space="preserve">input to SPD </w:t>
      </w:r>
      <w:r w:rsidR="002D6DDD">
        <w:t xml:space="preserve">has </w:t>
      </w:r>
      <w:r w:rsidR="00152D7A">
        <w:t xml:space="preserve">an </w:t>
      </w:r>
      <w:r w:rsidR="002D6DDD">
        <w:t xml:space="preserve">associated </w:t>
      </w:r>
      <w:r>
        <w:t xml:space="preserve">branch </w:t>
      </w:r>
      <w:r w:rsidR="00152D7A">
        <w:t xml:space="preserve">or branches </w:t>
      </w:r>
      <w:r>
        <w:t xml:space="preserve">then </w:t>
      </w:r>
      <w:r w:rsidR="00E22839">
        <w:t xml:space="preserve">SPD </w:t>
      </w:r>
      <w:r>
        <w:t xml:space="preserve">will </w:t>
      </w:r>
      <w:r w:rsidR="002D6DDD">
        <w:t>treat</w:t>
      </w:r>
      <w:r w:rsidR="00E22839">
        <w:t xml:space="preserve"> the risk group</w:t>
      </w:r>
      <w:r w:rsidR="002D6DDD">
        <w:t xml:space="preserve"> as</w:t>
      </w:r>
      <w:r>
        <w:t xml:space="preserve"> a link risk and model the branch flow as </w:t>
      </w:r>
      <w:r w:rsidR="00EB55C4">
        <w:t>the</w:t>
      </w:r>
      <w:r>
        <w:t xml:space="preserve"> risk</w:t>
      </w:r>
      <w:r w:rsidR="002D6DDD">
        <w:t>, not the pnode generation.</w:t>
      </w:r>
    </w:p>
    <w:p w14:paraId="7C90ACB1" w14:textId="6F4CDEF9" w:rsidR="00C23F6C" w:rsidRDefault="00423595" w:rsidP="00EB55C4">
      <w:pPr>
        <w:pStyle w:val="ListParagraph"/>
        <w:numPr>
          <w:ilvl w:val="0"/>
          <w:numId w:val="39"/>
        </w:numPr>
      </w:pPr>
      <w:r>
        <w:t xml:space="preserve">SPD will ensure that </w:t>
      </w:r>
      <w:r w:rsidR="00AD392F">
        <w:t xml:space="preserve">the </w:t>
      </w:r>
      <w:r w:rsidR="002D6DDD">
        <w:t>pnodes</w:t>
      </w:r>
      <w:r w:rsidR="00EB55C4">
        <w:t xml:space="preserve"> </w:t>
      </w:r>
      <w:r w:rsidR="002D6DDD">
        <w:t xml:space="preserve">associated with </w:t>
      </w:r>
      <w:r w:rsidR="00152D7A">
        <w:t>the</w:t>
      </w:r>
      <w:r w:rsidR="002D6DDD">
        <w:t xml:space="preserve"> link risk cannot</w:t>
      </w:r>
      <w:r w:rsidR="00C23F6C">
        <w:t xml:space="preserve"> provide reserve to cover th</w:t>
      </w:r>
      <w:r w:rsidR="00EB55C4">
        <w:t xml:space="preserve">e </w:t>
      </w:r>
      <w:r w:rsidR="002D6DDD">
        <w:t>link risk.</w:t>
      </w:r>
    </w:p>
    <w:p w14:paraId="553DFCBC" w14:textId="7B727116" w:rsidR="00C23F6C" w:rsidRDefault="00C23F6C" w:rsidP="00C23F6C">
      <w:pPr>
        <w:pStyle w:val="ListParagraph"/>
        <w:numPr>
          <w:ilvl w:val="0"/>
          <w:numId w:val="39"/>
        </w:numPr>
      </w:pPr>
      <w:r>
        <w:t>Any IL in the area is also ineligible to cover the risk, hence the link risk model</w:t>
      </w:r>
      <w:r w:rsidR="00152D7A">
        <w:t xml:space="preserve">ling </w:t>
      </w:r>
      <w:r w:rsidR="00C869DC">
        <w:t xml:space="preserve">includes </w:t>
      </w:r>
      <w:r w:rsidR="002D6DDD">
        <w:t xml:space="preserve">associated </w:t>
      </w:r>
      <w:r>
        <w:t xml:space="preserve">IL pnodes. </w:t>
      </w:r>
    </w:p>
    <w:p w14:paraId="46158AA5" w14:textId="42FD462A" w:rsidR="00C23F6C" w:rsidRPr="00E562D3" w:rsidRDefault="00C23F6C" w:rsidP="00C23F6C">
      <w:pPr>
        <w:pStyle w:val="ListParagraph"/>
        <w:numPr>
          <w:ilvl w:val="0"/>
          <w:numId w:val="39"/>
        </w:numPr>
      </w:pPr>
      <w:r>
        <w:t xml:space="preserve">The branch flow risk is dependent on direction. The </w:t>
      </w:r>
      <w:r w:rsidR="00152D7A">
        <w:t xml:space="preserve">link risk </w:t>
      </w:r>
      <w:r>
        <w:t xml:space="preserve">input specifies a towards bus, if this matches the to-bus of the branch then a </w:t>
      </w:r>
      <w:r w:rsidR="00152D7A" w:rsidRPr="00152D7A">
        <w:t>DirectionalRiskFactor</w:t>
      </w:r>
      <w:r w:rsidR="00152D7A">
        <w:t xml:space="preserve"> </w:t>
      </w:r>
      <w:r>
        <w:t xml:space="preserve">of +1 is applied to the </w:t>
      </w:r>
      <w:r w:rsidR="001315F4">
        <w:t xml:space="preserve">branch flow </w:t>
      </w:r>
      <w:r>
        <w:t xml:space="preserve">risk otherwise a </w:t>
      </w:r>
      <w:r w:rsidR="00152D7A" w:rsidRPr="00152D7A">
        <w:t>DirectionalRiskFactor</w:t>
      </w:r>
      <w:r w:rsidR="00152D7A">
        <w:t xml:space="preserve"> </w:t>
      </w:r>
      <w:r>
        <w:t>of -1 is applied.</w:t>
      </w:r>
    </w:p>
    <w:p w14:paraId="4374A752" w14:textId="77777777" w:rsidR="00C23F6C" w:rsidRDefault="00C23F6C" w:rsidP="007B5ACD">
      <w:pPr>
        <w:pStyle w:val="Heading2"/>
      </w:pPr>
      <w:r>
        <w:t>New SPD Inputs</w:t>
      </w:r>
    </w:p>
    <w:p w14:paraId="444F69CB" w14:textId="2C3D1A2A" w:rsidR="00E22839" w:rsidRPr="00E22839" w:rsidRDefault="00152D7A" w:rsidP="00E22839">
      <w:pPr>
        <w:rPr>
          <w:lang w:eastAsia="en-GB"/>
        </w:rPr>
      </w:pPr>
      <w:r>
        <w:rPr>
          <w:lang w:eastAsia="en-GB"/>
        </w:rPr>
        <w:t>Link risk will use the same input fields as a risk group, together with the following inputs</w:t>
      </w:r>
      <w:r w:rsidR="00E22839">
        <w:rPr>
          <w:lang w:eastAsia="en-GB"/>
        </w:rPr>
        <w:t>.</w:t>
      </w:r>
    </w:p>
    <w:p w14:paraId="0CC89160" w14:textId="7124402C" w:rsidR="00C23F6C" w:rsidRDefault="00C23F6C" w:rsidP="00C23F6C">
      <w:r>
        <w:t>New input section</w:t>
      </w:r>
      <w:r w:rsidR="001315F4">
        <w:t xml:space="preserve">: </w:t>
      </w:r>
      <w:r>
        <w:t>PERIOD.RISKGROUPBRANCH</w:t>
      </w:r>
    </w:p>
    <w:p w14:paraId="17DEB4A6" w14:textId="4B2C47F6" w:rsidR="00152D7A" w:rsidRDefault="00152D7A" w:rsidP="00C23F6C">
      <w:r>
        <w:t>An entry in this input section will identify an AC Risk as a link risk.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7"/>
        <w:gridCol w:w="8069"/>
      </w:tblGrid>
      <w:tr w:rsidR="00C23F6C" w:rsidRPr="00B100A0" w14:paraId="1C2E6AF8" w14:textId="77777777" w:rsidTr="00556C8C">
        <w:tc>
          <w:tcPr>
            <w:tcW w:w="2405" w:type="dxa"/>
            <w:shd w:val="clear" w:color="auto" w:fill="F2F2F2" w:themeFill="background1" w:themeFillShade="F2"/>
          </w:tcPr>
          <w:p w14:paraId="057DD0C4" w14:textId="77777777" w:rsidR="00C23F6C" w:rsidRPr="00B100A0" w:rsidRDefault="00C23F6C" w:rsidP="00556C8C">
            <w:pPr>
              <w:rPr>
                <w:sz w:val="20"/>
                <w:szCs w:val="16"/>
              </w:rPr>
            </w:pPr>
            <w:r w:rsidRPr="00B100A0">
              <w:rPr>
                <w:sz w:val="20"/>
                <w:szCs w:val="16"/>
              </w:rPr>
              <w:t>Field</w:t>
            </w:r>
          </w:p>
        </w:tc>
        <w:tc>
          <w:tcPr>
            <w:tcW w:w="8222" w:type="dxa"/>
            <w:shd w:val="clear" w:color="auto" w:fill="F2F2F2" w:themeFill="background1" w:themeFillShade="F2"/>
          </w:tcPr>
          <w:p w14:paraId="46BEAE38" w14:textId="77777777" w:rsidR="00C23F6C" w:rsidRPr="00B100A0" w:rsidRDefault="00C23F6C" w:rsidP="00556C8C">
            <w:pPr>
              <w:rPr>
                <w:sz w:val="20"/>
                <w:szCs w:val="16"/>
              </w:rPr>
            </w:pPr>
            <w:r w:rsidRPr="00B100A0">
              <w:rPr>
                <w:sz w:val="20"/>
                <w:szCs w:val="16"/>
              </w:rPr>
              <w:t>Description</w:t>
            </w:r>
          </w:p>
        </w:tc>
      </w:tr>
      <w:tr w:rsidR="00C23F6C" w:rsidRPr="00B100A0" w14:paraId="0EECAF95" w14:textId="77777777" w:rsidTr="00556C8C">
        <w:tc>
          <w:tcPr>
            <w:tcW w:w="2405" w:type="dxa"/>
          </w:tcPr>
          <w:p w14:paraId="3BCA70A7" w14:textId="77777777" w:rsidR="00C23F6C" w:rsidRPr="00B100A0" w:rsidRDefault="00C23F6C" w:rsidP="00556C8C">
            <w:pPr>
              <w:rPr>
                <w:sz w:val="20"/>
                <w:szCs w:val="16"/>
                <w:highlight w:val="green"/>
              </w:rPr>
            </w:pPr>
            <w:r w:rsidRPr="00B100A0">
              <w:rPr>
                <w:sz w:val="20"/>
                <w:szCs w:val="16"/>
                <w:highlight w:val="green"/>
              </w:rPr>
              <w:t>INTERVAL</w:t>
            </w:r>
          </w:p>
        </w:tc>
        <w:tc>
          <w:tcPr>
            <w:tcW w:w="8222" w:type="dxa"/>
          </w:tcPr>
          <w:p w14:paraId="60509839" w14:textId="77777777" w:rsidR="00C23F6C" w:rsidRPr="00B100A0" w:rsidRDefault="00C23F6C" w:rsidP="00556C8C">
            <w:pPr>
              <w:rPr>
                <w:sz w:val="20"/>
                <w:szCs w:val="16"/>
              </w:rPr>
            </w:pPr>
          </w:p>
        </w:tc>
      </w:tr>
      <w:tr w:rsidR="00C23F6C" w:rsidRPr="00B100A0" w14:paraId="58353DD6" w14:textId="77777777" w:rsidTr="00556C8C">
        <w:tc>
          <w:tcPr>
            <w:tcW w:w="2405" w:type="dxa"/>
          </w:tcPr>
          <w:p w14:paraId="291897AF" w14:textId="77777777" w:rsidR="00C23F6C" w:rsidRPr="00B100A0" w:rsidRDefault="00C23F6C" w:rsidP="00556C8C">
            <w:pPr>
              <w:rPr>
                <w:sz w:val="20"/>
                <w:szCs w:val="16"/>
                <w:highlight w:val="green"/>
              </w:rPr>
            </w:pPr>
            <w:r w:rsidRPr="00B100A0">
              <w:rPr>
                <w:sz w:val="20"/>
                <w:szCs w:val="16"/>
                <w:highlight w:val="green"/>
              </w:rPr>
              <w:t>RISKGROUPID</w:t>
            </w:r>
          </w:p>
        </w:tc>
        <w:tc>
          <w:tcPr>
            <w:tcW w:w="8222" w:type="dxa"/>
          </w:tcPr>
          <w:p w14:paraId="2F7FE307" w14:textId="132FFDDF" w:rsidR="00C23F6C" w:rsidRPr="00B100A0" w:rsidRDefault="00C23F6C" w:rsidP="00556C8C">
            <w:pPr>
              <w:rPr>
                <w:sz w:val="20"/>
                <w:szCs w:val="16"/>
              </w:rPr>
            </w:pPr>
            <w:r w:rsidRPr="00B100A0">
              <w:rPr>
                <w:sz w:val="20"/>
                <w:szCs w:val="16"/>
              </w:rPr>
              <w:t>AC Risk ID</w:t>
            </w:r>
          </w:p>
        </w:tc>
      </w:tr>
      <w:tr w:rsidR="00C23F6C" w:rsidRPr="00B100A0" w14:paraId="6372B926" w14:textId="77777777" w:rsidTr="00556C8C">
        <w:tc>
          <w:tcPr>
            <w:tcW w:w="2405" w:type="dxa"/>
          </w:tcPr>
          <w:p w14:paraId="0D9220B9" w14:textId="77777777" w:rsidR="00C23F6C" w:rsidRPr="00B100A0" w:rsidRDefault="00C23F6C" w:rsidP="00556C8C">
            <w:pPr>
              <w:rPr>
                <w:sz w:val="20"/>
                <w:szCs w:val="16"/>
                <w:highlight w:val="green"/>
              </w:rPr>
            </w:pPr>
            <w:r w:rsidRPr="00B100A0">
              <w:rPr>
                <w:sz w:val="20"/>
                <w:szCs w:val="16"/>
                <w:highlight w:val="green"/>
              </w:rPr>
              <w:t>KEY1</w:t>
            </w:r>
          </w:p>
        </w:tc>
        <w:tc>
          <w:tcPr>
            <w:tcW w:w="8222" w:type="dxa"/>
          </w:tcPr>
          <w:p w14:paraId="39FE14DA" w14:textId="77777777" w:rsidR="00C23F6C" w:rsidRPr="00B100A0" w:rsidRDefault="00C23F6C" w:rsidP="00556C8C">
            <w:pPr>
              <w:rPr>
                <w:sz w:val="20"/>
                <w:szCs w:val="16"/>
              </w:rPr>
            </w:pPr>
            <w:r w:rsidRPr="00B100A0">
              <w:rPr>
                <w:sz w:val="20"/>
                <w:szCs w:val="16"/>
              </w:rPr>
              <w:t>Market branch identifier key1</w:t>
            </w:r>
          </w:p>
        </w:tc>
      </w:tr>
      <w:tr w:rsidR="00C23F6C" w:rsidRPr="00B100A0" w14:paraId="57B2C5CA" w14:textId="77777777" w:rsidTr="00556C8C">
        <w:tc>
          <w:tcPr>
            <w:tcW w:w="2405" w:type="dxa"/>
          </w:tcPr>
          <w:p w14:paraId="4335CB5C" w14:textId="77777777" w:rsidR="00C23F6C" w:rsidRPr="00B100A0" w:rsidRDefault="00C23F6C" w:rsidP="00556C8C">
            <w:pPr>
              <w:rPr>
                <w:sz w:val="20"/>
                <w:szCs w:val="16"/>
                <w:highlight w:val="green"/>
              </w:rPr>
            </w:pPr>
            <w:r w:rsidRPr="00B100A0">
              <w:rPr>
                <w:sz w:val="20"/>
                <w:szCs w:val="16"/>
                <w:highlight w:val="green"/>
              </w:rPr>
              <w:t>KEY2</w:t>
            </w:r>
          </w:p>
        </w:tc>
        <w:tc>
          <w:tcPr>
            <w:tcW w:w="8222" w:type="dxa"/>
          </w:tcPr>
          <w:p w14:paraId="01C75920" w14:textId="77777777" w:rsidR="00C23F6C" w:rsidRPr="00B100A0" w:rsidRDefault="00C23F6C" w:rsidP="00556C8C">
            <w:pPr>
              <w:rPr>
                <w:sz w:val="20"/>
                <w:szCs w:val="16"/>
              </w:rPr>
            </w:pPr>
            <w:r w:rsidRPr="00B100A0">
              <w:rPr>
                <w:sz w:val="20"/>
                <w:szCs w:val="16"/>
              </w:rPr>
              <w:t>Market branch identifier key2</w:t>
            </w:r>
          </w:p>
        </w:tc>
      </w:tr>
      <w:tr w:rsidR="00C23F6C" w:rsidRPr="00B100A0" w14:paraId="595051AD" w14:textId="77777777" w:rsidTr="00556C8C">
        <w:tc>
          <w:tcPr>
            <w:tcW w:w="2405" w:type="dxa"/>
          </w:tcPr>
          <w:p w14:paraId="005AB3D3" w14:textId="77777777" w:rsidR="00C23F6C" w:rsidRPr="00B100A0" w:rsidRDefault="00C23F6C" w:rsidP="00556C8C">
            <w:pPr>
              <w:rPr>
                <w:sz w:val="20"/>
                <w:szCs w:val="16"/>
                <w:highlight w:val="green"/>
              </w:rPr>
            </w:pPr>
            <w:r w:rsidRPr="00B100A0">
              <w:rPr>
                <w:sz w:val="20"/>
                <w:szCs w:val="16"/>
                <w:highlight w:val="green"/>
              </w:rPr>
              <w:t>KEY3</w:t>
            </w:r>
          </w:p>
        </w:tc>
        <w:tc>
          <w:tcPr>
            <w:tcW w:w="8222" w:type="dxa"/>
          </w:tcPr>
          <w:p w14:paraId="32B15D2D" w14:textId="77777777" w:rsidR="00C23F6C" w:rsidRPr="00B100A0" w:rsidRDefault="00C23F6C" w:rsidP="00556C8C">
            <w:pPr>
              <w:rPr>
                <w:sz w:val="20"/>
                <w:szCs w:val="16"/>
              </w:rPr>
            </w:pPr>
            <w:r w:rsidRPr="00B100A0">
              <w:rPr>
                <w:sz w:val="20"/>
                <w:szCs w:val="16"/>
              </w:rPr>
              <w:t>Market branch identifier key3</w:t>
            </w:r>
          </w:p>
        </w:tc>
      </w:tr>
      <w:tr w:rsidR="00C23F6C" w:rsidRPr="00B100A0" w14:paraId="455732B9" w14:textId="77777777" w:rsidTr="00556C8C">
        <w:tc>
          <w:tcPr>
            <w:tcW w:w="2405" w:type="dxa"/>
          </w:tcPr>
          <w:p w14:paraId="795A4943" w14:textId="77777777" w:rsidR="00C23F6C" w:rsidRPr="00B100A0" w:rsidRDefault="00C23F6C" w:rsidP="00556C8C">
            <w:pPr>
              <w:rPr>
                <w:sz w:val="20"/>
                <w:szCs w:val="16"/>
                <w:highlight w:val="green"/>
              </w:rPr>
            </w:pPr>
            <w:r w:rsidRPr="00B100A0">
              <w:rPr>
                <w:sz w:val="20"/>
                <w:szCs w:val="16"/>
                <w:highlight w:val="green"/>
              </w:rPr>
              <w:t>TOWARDSBUS</w:t>
            </w:r>
          </w:p>
        </w:tc>
        <w:tc>
          <w:tcPr>
            <w:tcW w:w="8222" w:type="dxa"/>
          </w:tcPr>
          <w:p w14:paraId="17B9935E" w14:textId="77777777" w:rsidR="00C23F6C" w:rsidRPr="00B100A0" w:rsidRDefault="00C23F6C" w:rsidP="00556C8C">
            <w:pPr>
              <w:rPr>
                <w:sz w:val="20"/>
                <w:szCs w:val="16"/>
              </w:rPr>
            </w:pPr>
            <w:r w:rsidRPr="00B100A0">
              <w:rPr>
                <w:sz w:val="20"/>
                <w:szCs w:val="16"/>
              </w:rPr>
              <w:t>Identifies the direction of flow that will be covered as a risk.</w:t>
            </w:r>
          </w:p>
        </w:tc>
      </w:tr>
    </w:tbl>
    <w:p w14:paraId="3D41B82D" w14:textId="77777777" w:rsidR="00C23F6C" w:rsidRDefault="00C23F6C" w:rsidP="00C23F6C"/>
    <w:p w14:paraId="3F16F467" w14:textId="5F7CDBAB" w:rsidR="00C23F6C" w:rsidRDefault="00C23F6C" w:rsidP="00C23F6C">
      <w:r>
        <w:t>New input section</w:t>
      </w:r>
      <w:r w:rsidR="001315F4">
        <w:t xml:space="preserve">: </w:t>
      </w:r>
      <w:r>
        <w:t>PERIOD.RISKGROUPIL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7"/>
        <w:gridCol w:w="8069"/>
      </w:tblGrid>
      <w:tr w:rsidR="00C23F6C" w:rsidRPr="00B100A0" w14:paraId="023DCC59" w14:textId="77777777" w:rsidTr="00556C8C">
        <w:tc>
          <w:tcPr>
            <w:tcW w:w="2405" w:type="dxa"/>
            <w:shd w:val="clear" w:color="auto" w:fill="F2F2F2" w:themeFill="background1" w:themeFillShade="F2"/>
          </w:tcPr>
          <w:p w14:paraId="6EAAEFA7" w14:textId="77777777" w:rsidR="00C23F6C" w:rsidRPr="00B100A0" w:rsidRDefault="00C23F6C" w:rsidP="00556C8C">
            <w:pPr>
              <w:rPr>
                <w:sz w:val="20"/>
                <w:szCs w:val="16"/>
              </w:rPr>
            </w:pPr>
            <w:r w:rsidRPr="00B100A0">
              <w:rPr>
                <w:sz w:val="20"/>
                <w:szCs w:val="16"/>
              </w:rPr>
              <w:t>Field</w:t>
            </w:r>
          </w:p>
        </w:tc>
        <w:tc>
          <w:tcPr>
            <w:tcW w:w="8222" w:type="dxa"/>
            <w:shd w:val="clear" w:color="auto" w:fill="F2F2F2" w:themeFill="background1" w:themeFillShade="F2"/>
          </w:tcPr>
          <w:p w14:paraId="2EB8CA83" w14:textId="77777777" w:rsidR="00C23F6C" w:rsidRPr="00B100A0" w:rsidRDefault="00C23F6C" w:rsidP="00556C8C">
            <w:pPr>
              <w:rPr>
                <w:sz w:val="20"/>
                <w:szCs w:val="16"/>
              </w:rPr>
            </w:pPr>
            <w:r w:rsidRPr="00B100A0">
              <w:rPr>
                <w:sz w:val="20"/>
                <w:szCs w:val="16"/>
              </w:rPr>
              <w:t>Description</w:t>
            </w:r>
          </w:p>
        </w:tc>
      </w:tr>
      <w:tr w:rsidR="00C23F6C" w:rsidRPr="00B100A0" w14:paraId="70132785" w14:textId="77777777" w:rsidTr="00556C8C">
        <w:tc>
          <w:tcPr>
            <w:tcW w:w="2405" w:type="dxa"/>
          </w:tcPr>
          <w:p w14:paraId="17D5341F" w14:textId="77777777" w:rsidR="00C23F6C" w:rsidRPr="00B100A0" w:rsidRDefault="00C23F6C" w:rsidP="00556C8C">
            <w:pPr>
              <w:rPr>
                <w:sz w:val="20"/>
                <w:szCs w:val="16"/>
                <w:highlight w:val="green"/>
              </w:rPr>
            </w:pPr>
            <w:r w:rsidRPr="00B100A0">
              <w:rPr>
                <w:sz w:val="20"/>
                <w:szCs w:val="16"/>
                <w:highlight w:val="green"/>
              </w:rPr>
              <w:t>INTERVAL</w:t>
            </w:r>
          </w:p>
        </w:tc>
        <w:tc>
          <w:tcPr>
            <w:tcW w:w="8222" w:type="dxa"/>
          </w:tcPr>
          <w:p w14:paraId="693D4F2C" w14:textId="77777777" w:rsidR="00C23F6C" w:rsidRPr="00B100A0" w:rsidRDefault="00C23F6C" w:rsidP="00556C8C">
            <w:pPr>
              <w:rPr>
                <w:sz w:val="20"/>
                <w:szCs w:val="16"/>
              </w:rPr>
            </w:pPr>
          </w:p>
        </w:tc>
      </w:tr>
      <w:tr w:rsidR="00C23F6C" w:rsidRPr="00B100A0" w14:paraId="2FFBD2C3" w14:textId="77777777" w:rsidTr="00556C8C">
        <w:tc>
          <w:tcPr>
            <w:tcW w:w="2405" w:type="dxa"/>
          </w:tcPr>
          <w:p w14:paraId="29DFFFAC" w14:textId="77777777" w:rsidR="00C23F6C" w:rsidRPr="00B100A0" w:rsidRDefault="00C23F6C" w:rsidP="00556C8C">
            <w:pPr>
              <w:rPr>
                <w:sz w:val="20"/>
                <w:szCs w:val="16"/>
                <w:highlight w:val="green"/>
              </w:rPr>
            </w:pPr>
            <w:r w:rsidRPr="00B100A0">
              <w:rPr>
                <w:sz w:val="20"/>
                <w:szCs w:val="16"/>
                <w:highlight w:val="green"/>
              </w:rPr>
              <w:t>RISKGROUPID</w:t>
            </w:r>
          </w:p>
        </w:tc>
        <w:tc>
          <w:tcPr>
            <w:tcW w:w="8222" w:type="dxa"/>
          </w:tcPr>
          <w:p w14:paraId="116021C2" w14:textId="77777777" w:rsidR="00C23F6C" w:rsidRPr="00B100A0" w:rsidRDefault="00C23F6C" w:rsidP="00556C8C">
            <w:pPr>
              <w:rPr>
                <w:sz w:val="20"/>
                <w:szCs w:val="16"/>
              </w:rPr>
            </w:pPr>
            <w:r w:rsidRPr="00B100A0">
              <w:rPr>
                <w:sz w:val="20"/>
                <w:szCs w:val="16"/>
              </w:rPr>
              <w:t>AC Risk ID</w:t>
            </w:r>
          </w:p>
        </w:tc>
      </w:tr>
      <w:tr w:rsidR="00C23F6C" w:rsidRPr="00B100A0" w14:paraId="4D68C526" w14:textId="77777777" w:rsidTr="00556C8C">
        <w:tc>
          <w:tcPr>
            <w:tcW w:w="2405" w:type="dxa"/>
          </w:tcPr>
          <w:p w14:paraId="6AD16106" w14:textId="77777777" w:rsidR="00C23F6C" w:rsidRPr="00B100A0" w:rsidRDefault="00C23F6C" w:rsidP="00556C8C">
            <w:pPr>
              <w:rPr>
                <w:sz w:val="20"/>
                <w:szCs w:val="16"/>
                <w:highlight w:val="green"/>
              </w:rPr>
            </w:pPr>
            <w:r w:rsidRPr="00B100A0">
              <w:rPr>
                <w:sz w:val="20"/>
                <w:szCs w:val="16"/>
                <w:highlight w:val="green"/>
              </w:rPr>
              <w:t>PNODENAME</w:t>
            </w:r>
          </w:p>
        </w:tc>
        <w:tc>
          <w:tcPr>
            <w:tcW w:w="8222" w:type="dxa"/>
          </w:tcPr>
          <w:p w14:paraId="7D840961" w14:textId="77777777" w:rsidR="00C23F6C" w:rsidRPr="00B100A0" w:rsidRDefault="00C23F6C" w:rsidP="00556C8C">
            <w:pPr>
              <w:rPr>
                <w:sz w:val="20"/>
                <w:szCs w:val="16"/>
              </w:rPr>
            </w:pPr>
            <w:r w:rsidRPr="00B100A0">
              <w:rPr>
                <w:sz w:val="20"/>
                <w:szCs w:val="16"/>
              </w:rPr>
              <w:t>Pnodename of IL pnode in link risk area</w:t>
            </w:r>
          </w:p>
        </w:tc>
      </w:tr>
    </w:tbl>
    <w:p w14:paraId="4A893305" w14:textId="77777777" w:rsidR="008A798F" w:rsidRDefault="008A798F" w:rsidP="007B5ACD">
      <w:pPr>
        <w:pStyle w:val="Heading2"/>
      </w:pPr>
      <w:r>
        <w:t>New SPD Outputs</w:t>
      </w:r>
    </w:p>
    <w:p w14:paraId="539C62A3" w14:textId="435039BF" w:rsidR="008A798F" w:rsidRDefault="008A798F" w:rsidP="008A798F">
      <w:r>
        <w:t xml:space="preserve">The risk </w:t>
      </w:r>
      <w:r w:rsidR="00C869DC">
        <w:t>calculated for the link risk</w:t>
      </w:r>
      <w:r w:rsidR="00E22839">
        <w:t xml:space="preserve"> </w:t>
      </w:r>
      <w:r>
        <w:t xml:space="preserve">is written out </w:t>
      </w:r>
      <w:r w:rsidR="00152D7A">
        <w:t xml:space="preserve">so that </w:t>
      </w:r>
      <w:r>
        <w:t>RMT</w:t>
      </w:r>
      <w:r w:rsidR="00152D7A">
        <w:t xml:space="preserve"> can use it as the risk for the group.</w:t>
      </w:r>
    </w:p>
    <w:p w14:paraId="3C2C1AE2" w14:textId="28298A77" w:rsidR="008A798F" w:rsidRDefault="008A798F" w:rsidP="008A798F">
      <w:r>
        <w:t>New output section</w:t>
      </w:r>
      <w:r w:rsidR="00F624AE">
        <w:t xml:space="preserve">: </w:t>
      </w:r>
      <w:r w:rsidRPr="00036D36">
        <w:t>ACRISKBRANCHFLOW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7"/>
        <w:gridCol w:w="8219"/>
      </w:tblGrid>
      <w:tr w:rsidR="008A798F" w:rsidRPr="00B100A0" w14:paraId="59DC9A2C" w14:textId="77777777" w:rsidTr="00556C8C">
        <w:tc>
          <w:tcPr>
            <w:tcW w:w="2405" w:type="dxa"/>
            <w:shd w:val="clear" w:color="auto" w:fill="F2F2F2" w:themeFill="background1" w:themeFillShade="F2"/>
          </w:tcPr>
          <w:p w14:paraId="03101EEE" w14:textId="77777777" w:rsidR="008A798F" w:rsidRPr="00B100A0" w:rsidRDefault="008A798F" w:rsidP="00556C8C">
            <w:pPr>
              <w:rPr>
                <w:sz w:val="20"/>
                <w:szCs w:val="16"/>
              </w:rPr>
            </w:pPr>
            <w:r w:rsidRPr="00B100A0">
              <w:rPr>
                <w:sz w:val="20"/>
                <w:szCs w:val="16"/>
              </w:rPr>
              <w:t>Field</w:t>
            </w:r>
          </w:p>
        </w:tc>
        <w:tc>
          <w:tcPr>
            <w:tcW w:w="12899" w:type="dxa"/>
            <w:shd w:val="clear" w:color="auto" w:fill="F2F2F2" w:themeFill="background1" w:themeFillShade="F2"/>
          </w:tcPr>
          <w:p w14:paraId="1C7F473C" w14:textId="77777777" w:rsidR="008A798F" w:rsidRPr="00B100A0" w:rsidRDefault="008A798F" w:rsidP="00556C8C">
            <w:pPr>
              <w:rPr>
                <w:sz w:val="20"/>
                <w:szCs w:val="16"/>
              </w:rPr>
            </w:pPr>
            <w:r w:rsidRPr="00B100A0">
              <w:rPr>
                <w:sz w:val="20"/>
                <w:szCs w:val="16"/>
              </w:rPr>
              <w:t>Description</w:t>
            </w:r>
          </w:p>
        </w:tc>
      </w:tr>
      <w:tr w:rsidR="008A798F" w:rsidRPr="00B100A0" w14:paraId="70A65661" w14:textId="77777777" w:rsidTr="00556C8C">
        <w:tc>
          <w:tcPr>
            <w:tcW w:w="2405" w:type="dxa"/>
          </w:tcPr>
          <w:p w14:paraId="7F135E80" w14:textId="77777777" w:rsidR="008A798F" w:rsidRPr="00B100A0" w:rsidRDefault="008A798F" w:rsidP="00556C8C">
            <w:pPr>
              <w:rPr>
                <w:sz w:val="20"/>
                <w:szCs w:val="16"/>
                <w:highlight w:val="green"/>
              </w:rPr>
            </w:pPr>
            <w:r w:rsidRPr="00B100A0">
              <w:rPr>
                <w:sz w:val="20"/>
                <w:szCs w:val="16"/>
                <w:highlight w:val="green"/>
              </w:rPr>
              <w:t>INTERVAL</w:t>
            </w:r>
          </w:p>
        </w:tc>
        <w:tc>
          <w:tcPr>
            <w:tcW w:w="12899" w:type="dxa"/>
          </w:tcPr>
          <w:p w14:paraId="251D5082" w14:textId="77777777" w:rsidR="008A798F" w:rsidRPr="00B100A0" w:rsidRDefault="008A798F" w:rsidP="00556C8C">
            <w:pPr>
              <w:rPr>
                <w:sz w:val="20"/>
                <w:szCs w:val="16"/>
              </w:rPr>
            </w:pPr>
          </w:p>
        </w:tc>
      </w:tr>
      <w:tr w:rsidR="008A798F" w:rsidRPr="00B100A0" w14:paraId="1AFDD4EF" w14:textId="77777777" w:rsidTr="00556C8C">
        <w:tc>
          <w:tcPr>
            <w:tcW w:w="2405" w:type="dxa"/>
          </w:tcPr>
          <w:p w14:paraId="384CA832" w14:textId="77777777" w:rsidR="008A798F" w:rsidRPr="00B100A0" w:rsidRDefault="008A798F" w:rsidP="00556C8C">
            <w:pPr>
              <w:rPr>
                <w:sz w:val="20"/>
                <w:szCs w:val="16"/>
                <w:highlight w:val="green"/>
              </w:rPr>
            </w:pPr>
            <w:r w:rsidRPr="00B100A0">
              <w:rPr>
                <w:sz w:val="20"/>
                <w:szCs w:val="16"/>
                <w:highlight w:val="green"/>
              </w:rPr>
              <w:t>ACRISKID</w:t>
            </w:r>
          </w:p>
        </w:tc>
        <w:tc>
          <w:tcPr>
            <w:tcW w:w="12899" w:type="dxa"/>
          </w:tcPr>
          <w:p w14:paraId="6FDD61CC" w14:textId="77777777" w:rsidR="008A798F" w:rsidRPr="00B100A0" w:rsidRDefault="008A798F" w:rsidP="00556C8C">
            <w:pPr>
              <w:rPr>
                <w:sz w:val="20"/>
                <w:szCs w:val="16"/>
              </w:rPr>
            </w:pPr>
            <w:r w:rsidRPr="00B100A0">
              <w:rPr>
                <w:sz w:val="20"/>
                <w:szCs w:val="16"/>
              </w:rPr>
              <w:t>AC Risk ID</w:t>
            </w:r>
          </w:p>
        </w:tc>
      </w:tr>
      <w:tr w:rsidR="008A798F" w:rsidRPr="00B100A0" w14:paraId="19F11B27" w14:textId="77777777" w:rsidTr="00556C8C">
        <w:tc>
          <w:tcPr>
            <w:tcW w:w="2405" w:type="dxa"/>
          </w:tcPr>
          <w:p w14:paraId="16DE9830" w14:textId="77777777" w:rsidR="008A798F" w:rsidRPr="00B100A0" w:rsidRDefault="008A798F" w:rsidP="00556C8C">
            <w:pPr>
              <w:rPr>
                <w:sz w:val="20"/>
                <w:szCs w:val="16"/>
                <w:highlight w:val="green"/>
              </w:rPr>
            </w:pPr>
            <w:r w:rsidRPr="00B100A0">
              <w:rPr>
                <w:sz w:val="20"/>
                <w:szCs w:val="16"/>
                <w:highlight w:val="green"/>
              </w:rPr>
              <w:t>BRANCHFLOWMW</w:t>
            </w:r>
          </w:p>
        </w:tc>
        <w:tc>
          <w:tcPr>
            <w:tcW w:w="12899" w:type="dxa"/>
          </w:tcPr>
          <w:p w14:paraId="74812839" w14:textId="16EB9749" w:rsidR="008A798F" w:rsidRPr="00B100A0" w:rsidRDefault="008A798F" w:rsidP="00556C8C">
            <w:pPr>
              <w:rPr>
                <w:sz w:val="20"/>
                <w:szCs w:val="16"/>
              </w:rPr>
            </w:pPr>
            <w:r w:rsidRPr="00B100A0">
              <w:rPr>
                <w:sz w:val="20"/>
                <w:szCs w:val="16"/>
              </w:rPr>
              <w:t xml:space="preserve">The branch flow MW amount that </w:t>
            </w:r>
            <w:r w:rsidR="00C869DC">
              <w:rPr>
                <w:sz w:val="20"/>
                <w:szCs w:val="16"/>
              </w:rPr>
              <w:t>wa</w:t>
            </w:r>
            <w:r w:rsidRPr="00B100A0">
              <w:rPr>
                <w:sz w:val="20"/>
                <w:szCs w:val="16"/>
              </w:rPr>
              <w:t xml:space="preserve">s covered as a risk by SPD for an AC risk that models a branch risk. Not necessarily </w:t>
            </w:r>
            <w:r w:rsidR="001315F4">
              <w:rPr>
                <w:sz w:val="20"/>
                <w:szCs w:val="16"/>
              </w:rPr>
              <w:t>the</w:t>
            </w:r>
            <w:r w:rsidRPr="00B100A0">
              <w:rPr>
                <w:sz w:val="20"/>
                <w:szCs w:val="16"/>
              </w:rPr>
              <w:t xml:space="preserve"> risk setter. Used by RMT as the risk MW for the </w:t>
            </w:r>
            <w:r w:rsidR="00B20C41">
              <w:rPr>
                <w:sz w:val="20"/>
                <w:szCs w:val="16"/>
              </w:rPr>
              <w:t>pnodes in the link</w:t>
            </w:r>
            <w:r w:rsidRPr="00B100A0">
              <w:rPr>
                <w:sz w:val="20"/>
                <w:szCs w:val="16"/>
              </w:rPr>
              <w:t xml:space="preserve"> risk group.</w:t>
            </w:r>
          </w:p>
        </w:tc>
      </w:tr>
    </w:tbl>
    <w:p w14:paraId="1440D723" w14:textId="6348CD43" w:rsidR="00B406E1" w:rsidRDefault="00B406E1" w:rsidP="007B5ACD">
      <w:pPr>
        <w:pStyle w:val="Heading2"/>
      </w:pPr>
      <w:r>
        <w:t>Formulation change</w:t>
      </w:r>
      <w:r w:rsidR="005E72A8">
        <w:t>s</w:t>
      </w:r>
    </w:p>
    <w:p w14:paraId="2DFB4AC1" w14:textId="77777777" w:rsidR="00AE53C3" w:rsidRDefault="00542028" w:rsidP="00F40933">
      <w:pPr>
        <w:rPr>
          <w:lang w:eastAsia="en-GB"/>
        </w:rPr>
      </w:pPr>
      <w:r>
        <w:rPr>
          <w:lang w:eastAsia="en-GB"/>
        </w:rPr>
        <w:t xml:space="preserve">Pre-processing </w:t>
      </w:r>
      <w:r w:rsidR="00152D7A">
        <w:rPr>
          <w:lang w:eastAsia="en-GB"/>
        </w:rPr>
        <w:t xml:space="preserve">to </w:t>
      </w:r>
      <w:r w:rsidR="00AE53C3">
        <w:rPr>
          <w:lang w:eastAsia="en-GB"/>
        </w:rPr>
        <w:t xml:space="preserve">determine </w:t>
      </w:r>
      <w:r w:rsidR="00AE53C3" w:rsidRPr="00AE53C3">
        <w:rPr>
          <w:lang w:eastAsia="en-GB"/>
        </w:rPr>
        <w:t>DirectionalRiskFactor</w:t>
      </w:r>
      <w:r w:rsidR="00AE53C3">
        <w:rPr>
          <w:lang w:eastAsia="en-GB"/>
        </w:rPr>
        <w:t>.</w:t>
      </w:r>
      <w:r w:rsidR="00AE53C3" w:rsidRPr="00AE53C3">
        <w:rPr>
          <w:lang w:eastAsia="en-GB"/>
        </w:rPr>
        <w:t xml:space="preserve"> </w:t>
      </w:r>
    </w:p>
    <w:p w14:paraId="5E9982EA" w14:textId="2BC0367B" w:rsidR="00F40933" w:rsidRDefault="00AE53C3" w:rsidP="00F40933">
      <w:pPr>
        <w:rPr>
          <w:lang w:eastAsia="en-GB"/>
        </w:rPr>
      </w:pPr>
      <w:r>
        <w:rPr>
          <w:lang w:eastAsia="en-GB"/>
        </w:rPr>
        <w:t>Link risk calculation equation</w:t>
      </w:r>
      <w:r w:rsidR="00F40933">
        <w:rPr>
          <w:lang w:eastAsia="en-GB"/>
        </w:rPr>
        <w:t>.</w:t>
      </w:r>
    </w:p>
    <w:p w14:paraId="33FBF32F" w14:textId="10DF61DA" w:rsidR="00542028" w:rsidRDefault="00542028" w:rsidP="007B5ACD">
      <w:pPr>
        <w:pStyle w:val="Heading2"/>
      </w:pPr>
      <w:r>
        <w:lastRenderedPageBreak/>
        <w:t>Example case</w:t>
      </w:r>
    </w:p>
    <w:p w14:paraId="1A38C8B5" w14:textId="69BEE951" w:rsidR="00A138D6" w:rsidRDefault="000A4FC3" w:rsidP="00A138D6">
      <w:pPr>
        <w:rPr>
          <w:lang w:eastAsia="en-GB"/>
        </w:rPr>
      </w:pPr>
      <w:r>
        <w:t xml:space="preserve">10:30 </w:t>
      </w:r>
      <w:r w:rsidR="00A138D6">
        <w:t>Link Risk example data:</w:t>
      </w:r>
      <w:r w:rsidR="00E0125C">
        <w:t xml:space="preserve"> </w:t>
      </w:r>
      <w:r w:rsidR="00A138D6">
        <w:rPr>
          <w:lang w:eastAsia="en-GB"/>
        </w:rPr>
        <w:t xml:space="preserve">Hawkes Bay link risk, as per </w:t>
      </w:r>
      <w:r w:rsidR="00A138D6">
        <w:rPr>
          <w:lang w:eastAsia="en-GB"/>
        </w:rPr>
        <w:fldChar w:fldCharType="begin"/>
      </w:r>
      <w:r w:rsidR="00A138D6">
        <w:rPr>
          <w:lang w:eastAsia="en-GB"/>
        </w:rPr>
        <w:instrText xml:space="preserve"> REF _Ref184976473 \h </w:instrText>
      </w:r>
      <w:r w:rsidR="00A138D6">
        <w:rPr>
          <w:lang w:eastAsia="en-GB"/>
        </w:rPr>
      </w:r>
      <w:r w:rsidR="00A138D6">
        <w:rPr>
          <w:lang w:eastAsia="en-GB"/>
        </w:rPr>
        <w:fldChar w:fldCharType="separate"/>
      </w:r>
      <w:r w:rsidR="00A138D6">
        <w:t>Figure 1</w:t>
      </w:r>
      <w:r w:rsidR="00A138D6">
        <w:rPr>
          <w:lang w:eastAsia="en-GB"/>
        </w:rPr>
        <w:fldChar w:fldCharType="end"/>
      </w:r>
    </w:p>
    <w:p w14:paraId="4F3441FC" w14:textId="77777777" w:rsidR="00E77FEA" w:rsidRDefault="00E77FEA" w:rsidP="00A138D6">
      <w:pPr>
        <w:rPr>
          <w:lang w:eastAsia="en-GB"/>
        </w:rPr>
      </w:pPr>
    </w:p>
    <w:p w14:paraId="07E906E1" w14:textId="570AAA4D" w:rsidR="00E77FEA" w:rsidRDefault="00E77FEA" w:rsidP="00A138D6">
      <w:pPr>
        <w:rPr>
          <w:lang w:eastAsia="en-GB"/>
        </w:rPr>
      </w:pPr>
      <w:r>
        <w:rPr>
          <w:lang w:eastAsia="en-GB"/>
        </w:rPr>
        <w:t>Link risk modelling:</w:t>
      </w:r>
    </w:p>
    <w:p w14:paraId="268E947B" w14:textId="77777777" w:rsidR="00FF6FD3" w:rsidRDefault="00FF6FD3" w:rsidP="00FF6FD3">
      <w:pPr>
        <w:pStyle w:val="code"/>
      </w:pPr>
      <w:r>
        <w:t>I,MSSDATA,RISKGROUP,1.0,INTERVAL,RISKGROUPID,RISKGROUPNAME,RISKGROUPRISKTYPE</w:t>
      </w:r>
    </w:p>
    <w:p w14:paraId="46E30794" w14:textId="77777777" w:rsidR="00FF6FD3" w:rsidRDefault="00FF6FD3" w:rsidP="00FF6FD3">
      <w:pPr>
        <w:pStyle w:val="code"/>
      </w:pPr>
      <w:r>
        <w:t>D,MSSDATA,RISKGROUP,1.0,27-JAN-2025 10:00,12345,BPE-WIND-FARMS,CE+ECE</w:t>
      </w:r>
    </w:p>
    <w:p w14:paraId="0EA68AE4" w14:textId="77777777" w:rsidR="00FF6FD3" w:rsidRDefault="00FF6FD3" w:rsidP="00FF6FD3">
      <w:pPr>
        <w:pStyle w:val="code"/>
      </w:pPr>
      <w:r>
        <w:t>D,MSSDATA,RISKGROUP,1.0,27-JAN-2025 10:00,6789,TWC-ONLY,CE</w:t>
      </w:r>
    </w:p>
    <w:p w14:paraId="262B034E" w14:textId="77777777" w:rsidR="00FF6FD3" w:rsidRDefault="00FF6FD3" w:rsidP="00FF6FD3">
      <w:pPr>
        <w:pStyle w:val="code"/>
      </w:pPr>
      <w:r>
        <w:t>D,MSSDATA,RISKGROUP,1.0,27-JAN-2025 10:30,5547757131,HWKSBAY-EXPORT,CE+ECE</w:t>
      </w:r>
    </w:p>
    <w:p w14:paraId="5B2A7CD5" w14:textId="77777777" w:rsidR="00FF6FD3" w:rsidRDefault="00FF6FD3" w:rsidP="00FF6FD3">
      <w:pPr>
        <w:pStyle w:val="code"/>
      </w:pPr>
      <w:r>
        <w:t>I,MSSDATA,RISKGROUPPNODE,1.0,INTERVAL,RISKGROUPID,PNODENAME</w:t>
      </w:r>
    </w:p>
    <w:p w14:paraId="0803EBBF" w14:textId="77777777" w:rsidR="00FF6FD3" w:rsidRDefault="00FF6FD3" w:rsidP="00FF6FD3">
      <w:pPr>
        <w:pStyle w:val="code"/>
      </w:pPr>
      <w:r>
        <w:t>D,MSSDATA,RISKGROUPPNODE,1.0,27-JAN-2025 10:00,12345,LTN2201 TUR0</w:t>
      </w:r>
    </w:p>
    <w:p w14:paraId="1977B53D" w14:textId="77777777" w:rsidR="00FF6FD3" w:rsidRDefault="00FF6FD3" w:rsidP="00FF6FD3">
      <w:pPr>
        <w:pStyle w:val="code"/>
      </w:pPr>
      <w:r>
        <w:t>D,MSSDATA,RISKGROUPPNODE,1.0,27-JAN-2025 10:00,12345,TWC2201 NZW0</w:t>
      </w:r>
    </w:p>
    <w:p w14:paraId="20709724" w14:textId="77777777" w:rsidR="00FF6FD3" w:rsidRDefault="00FF6FD3" w:rsidP="00FF6FD3">
      <w:pPr>
        <w:pStyle w:val="code"/>
      </w:pPr>
      <w:r>
        <w:t>D,MSSDATA,RISKGROUPPNODE,1.0,27-JAN-2025 10:00,12345,TWC2201 TWF0</w:t>
      </w:r>
    </w:p>
    <w:p w14:paraId="1A62F97A" w14:textId="77777777" w:rsidR="00FF6FD3" w:rsidRDefault="00FF6FD3" w:rsidP="00FF6FD3">
      <w:pPr>
        <w:pStyle w:val="code"/>
      </w:pPr>
      <w:r>
        <w:t>D,MSSDATA,RISKGROUPPNODE,1.0,27-JAN-2025 10:00,6789,TWC2201 TWF0</w:t>
      </w:r>
    </w:p>
    <w:p w14:paraId="6209760A" w14:textId="77777777" w:rsidR="00FF6FD3" w:rsidRDefault="00FF6FD3" w:rsidP="00FF6FD3">
      <w:pPr>
        <w:pStyle w:val="code"/>
      </w:pPr>
      <w:r>
        <w:t>D,MSSDATA,RISKGROUPPNODE,1.0,27-JAN-2025 10:30,5547757131,HRP2201 HRP0</w:t>
      </w:r>
    </w:p>
    <w:p w14:paraId="20024ABB" w14:textId="77777777" w:rsidR="00FF6FD3" w:rsidRDefault="00FF6FD3" w:rsidP="00FF6FD3">
      <w:pPr>
        <w:pStyle w:val="code"/>
      </w:pPr>
      <w:r>
        <w:t>D,MSSDATA,RISKGROUPPNODE,1.0,27-JAN-2025 10:30,5547757131,TAB2201 TAB0</w:t>
      </w:r>
    </w:p>
    <w:p w14:paraId="12F9AD65" w14:textId="77777777" w:rsidR="00FF6FD3" w:rsidRDefault="00FF6FD3" w:rsidP="00FF6FD3">
      <w:pPr>
        <w:pStyle w:val="code"/>
      </w:pPr>
      <w:r>
        <w:t>D,MSSDATA,RISKGROUPPNODE,1.0,27-JAN-2025 10:30,5547757131,TUI1101 KTW0</w:t>
      </w:r>
    </w:p>
    <w:p w14:paraId="0F7DBDC8" w14:textId="77777777" w:rsidR="00FF6FD3" w:rsidRDefault="00FF6FD3" w:rsidP="00FF6FD3">
      <w:pPr>
        <w:pStyle w:val="code"/>
      </w:pPr>
      <w:r>
        <w:t>D,MSSDATA,RISKGROUPPNODE,1.0,27-JAN-2025 10:30,5547757131,TUI1101 PRI0</w:t>
      </w:r>
    </w:p>
    <w:p w14:paraId="65E65D13" w14:textId="77777777" w:rsidR="00FF6FD3" w:rsidRDefault="00FF6FD3" w:rsidP="00FF6FD3">
      <w:pPr>
        <w:pStyle w:val="code"/>
      </w:pPr>
      <w:r>
        <w:t>D,MSSDATA,RISKGROUPPNODE,1.0,27-JAN-2025 10:30,5547757131,TUI1101 TUI0</w:t>
      </w:r>
    </w:p>
    <w:p w14:paraId="518D7D50" w14:textId="77777777" w:rsidR="00FF6FD3" w:rsidRDefault="00FF6FD3" w:rsidP="00FF6FD3">
      <w:pPr>
        <w:pStyle w:val="code"/>
      </w:pPr>
      <w:r>
        <w:t>D,MSSDATA,RISKGROUPPNODE,1.0,27-JAN-2025 10:30,5547757131,WHI2201 WHI1</w:t>
      </w:r>
    </w:p>
    <w:p w14:paraId="3C0D56FB" w14:textId="77777777" w:rsidR="00FF6FD3" w:rsidRDefault="00FF6FD3" w:rsidP="00FF6FD3">
      <w:pPr>
        <w:pStyle w:val="code"/>
      </w:pPr>
      <w:r>
        <w:t>D,MSSDATA,RISKGROUPPNODE,1.0,27-JAN-2025 10:30,5547757131,WHI2201 WHI2</w:t>
      </w:r>
    </w:p>
    <w:p w14:paraId="66CEAAC1" w14:textId="77777777" w:rsidR="00FF6FD3" w:rsidRDefault="00FF6FD3" w:rsidP="00FF6FD3">
      <w:pPr>
        <w:pStyle w:val="code"/>
      </w:pPr>
      <w:r>
        <w:t>D,MSSDATA,RISKGROUPPNODE,1.0,27-JAN-2025 10:30,5547757131,WHI2201 WHI3</w:t>
      </w:r>
    </w:p>
    <w:p w14:paraId="2179AA92" w14:textId="77777777" w:rsidR="00FF6FD3" w:rsidRDefault="00FF6FD3" w:rsidP="00FF6FD3">
      <w:pPr>
        <w:pStyle w:val="code"/>
      </w:pPr>
      <w:r>
        <w:t>I,MSSDATA,RISKGROUPBRANCH,1.0,INTERVAL,RISKGROUPID,KEY1,KEY2,KEY3,TOWARDSBUS</w:t>
      </w:r>
    </w:p>
    <w:p w14:paraId="53917190" w14:textId="77777777" w:rsidR="00FF6FD3" w:rsidRDefault="00FF6FD3" w:rsidP="00FF6FD3">
      <w:pPr>
        <w:pStyle w:val="code"/>
      </w:pPr>
      <w:r>
        <w:t>D,MSSDATA,RISKGROUPBRANCH,1.0, 27-JAN-2025 10:30,5547757131,WHI,WHI_WRK1,1,WRK220</w:t>
      </w:r>
    </w:p>
    <w:p w14:paraId="0DBE88F1" w14:textId="77777777" w:rsidR="00FF6FD3" w:rsidRDefault="00FF6FD3" w:rsidP="00FF6FD3">
      <w:pPr>
        <w:pStyle w:val="code"/>
      </w:pPr>
      <w:r>
        <w:t>I,MSSDATA,RISKGROUPIL,1.0,INTERVAL,RISKGROUPID,PNODENAME</w:t>
      </w:r>
    </w:p>
    <w:p w14:paraId="1FB71D24" w14:textId="6198410B" w:rsidR="00FF6FD3" w:rsidRDefault="00FF6FD3" w:rsidP="00FF6FD3">
      <w:pPr>
        <w:pStyle w:val="code"/>
      </w:pPr>
      <w:r>
        <w:t>D,MSSDATA,RISKGROUPIL,1.0,27-JAN-2025 10:30,5547757131,PEN0331</w:t>
      </w:r>
    </w:p>
    <w:p w14:paraId="53C74687" w14:textId="593F94DC" w:rsidR="00A138D6" w:rsidRDefault="00E77FEA" w:rsidP="00A138D6">
      <w:pPr>
        <w:rPr>
          <w:rFonts w:ascii="Courier New" w:hAnsi="Courier New" w:cs="Courier New"/>
          <w:sz w:val="18"/>
          <w:szCs w:val="16"/>
          <w:lang w:bidi="th-TH"/>
        </w:rPr>
      </w:pPr>
      <w:r>
        <w:t>B</w:t>
      </w:r>
      <w:r w:rsidR="00A138D6">
        <w:t>ranch removed via time-based MSSNET file:</w:t>
      </w:r>
    </w:p>
    <w:p w14:paraId="1EE997A4" w14:textId="77777777" w:rsidR="00A138D6" w:rsidRDefault="00A138D6" w:rsidP="00A138D6">
      <w:pPr>
        <w:rPr>
          <w:rFonts w:ascii="Courier New" w:hAnsi="Courier New" w:cs="Courier New"/>
          <w:sz w:val="18"/>
          <w:szCs w:val="16"/>
          <w:lang w:bidi="th-TH"/>
        </w:rPr>
      </w:pPr>
      <w:r w:rsidRPr="00D64757">
        <w:rPr>
          <w:rFonts w:ascii="Courier New" w:hAnsi="Courier New" w:cs="Courier New"/>
          <w:sz w:val="18"/>
          <w:szCs w:val="16"/>
          <w:lang w:bidi="th-TH"/>
        </w:rPr>
        <w:t>I,NETDATA,BRANCHBUS,1.0,ID_BRANCH,ID_FROMBUS,ID_TOBUS,SUSCEPTANCE,RESISTANCE,</w:t>
      </w:r>
      <w:r w:rsidRPr="00D64757">
        <w:rPr>
          <w:rFonts w:ascii="Courier New" w:hAnsi="Courier New" w:cs="Courier New"/>
          <w:sz w:val="18"/>
          <w:szCs w:val="16"/>
          <w:highlight w:val="cyan"/>
          <w:lang w:bidi="th-TH"/>
        </w:rPr>
        <w:t>REMOVE</w:t>
      </w:r>
    </w:p>
    <w:p w14:paraId="026B25F4" w14:textId="48FF2C43" w:rsidR="00A138D6" w:rsidRDefault="00FF6FD3" w:rsidP="00A138D6">
      <w:pPr>
        <w:rPr>
          <w:rFonts w:ascii="Courier New" w:hAnsi="Courier New" w:cs="Courier New"/>
          <w:sz w:val="18"/>
          <w:szCs w:val="16"/>
          <w:lang w:bidi="th-TH"/>
        </w:rPr>
      </w:pPr>
      <w:r w:rsidRPr="00FF6FD3">
        <w:rPr>
          <w:rFonts w:ascii="Courier New" w:hAnsi="Courier New" w:cs="Courier New"/>
          <w:sz w:val="18"/>
          <w:szCs w:val="16"/>
          <w:lang w:bidi="th-TH"/>
        </w:rPr>
        <w:t>D,NETDATA,BRANCHBUS,1.0,TAB     TAB_WRK1      1 ,253,296,-20768.082,   0.0556,</w:t>
      </w:r>
      <w:r w:rsidRPr="00FF6FD3">
        <w:rPr>
          <w:rFonts w:ascii="Courier New" w:hAnsi="Courier New" w:cs="Courier New"/>
          <w:sz w:val="18"/>
          <w:szCs w:val="16"/>
          <w:highlight w:val="cyan"/>
          <w:lang w:bidi="th-TH"/>
        </w:rPr>
        <w:t>1</w:t>
      </w:r>
    </w:p>
    <w:p w14:paraId="55F9FB63" w14:textId="77777777" w:rsidR="00E77FEA" w:rsidRDefault="00E77FEA" w:rsidP="00A138D6">
      <w:pPr>
        <w:rPr>
          <w:rFonts w:ascii="Courier New" w:hAnsi="Courier New" w:cs="Courier New"/>
          <w:sz w:val="18"/>
          <w:szCs w:val="16"/>
          <w:lang w:bidi="th-TH"/>
        </w:rPr>
      </w:pPr>
    </w:p>
    <w:p w14:paraId="2AB8C479" w14:textId="494DE22C" w:rsidR="009B336B" w:rsidRDefault="009B336B" w:rsidP="00A138D6">
      <w:pPr>
        <w:rPr>
          <w:rFonts w:ascii="Courier New" w:hAnsi="Courier New" w:cs="Courier New"/>
          <w:sz w:val="18"/>
          <w:szCs w:val="16"/>
          <w:lang w:bidi="th-TH"/>
        </w:rPr>
      </w:pPr>
      <w:r>
        <w:rPr>
          <w:rFonts w:cs="Courier New"/>
          <w:szCs w:val="16"/>
          <w:lang w:bidi="th-TH"/>
        </w:rPr>
        <w:t>Island result:</w:t>
      </w:r>
    </w:p>
    <w:tbl>
      <w:tblPr>
        <w:tblW w:w="8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2"/>
        <w:gridCol w:w="6182"/>
      </w:tblGrid>
      <w:tr w:rsidR="00E77FEA" w:rsidRPr="00E77FEA" w14:paraId="7602371D" w14:textId="142DAE98" w:rsidTr="000A4FC3">
        <w:trPr>
          <w:trHeight w:val="290"/>
        </w:trPr>
        <w:tc>
          <w:tcPr>
            <w:tcW w:w="2385" w:type="dxa"/>
            <w:shd w:val="clear" w:color="auto" w:fill="D9D9D9" w:themeFill="background1" w:themeFillShade="D9"/>
            <w:noWrap/>
            <w:vAlign w:val="center"/>
            <w:hideMark/>
          </w:tcPr>
          <w:p w14:paraId="6E63640D" w14:textId="77777777" w:rsidR="00E77FEA" w:rsidRPr="00E77FEA" w:rsidRDefault="00E77FEA" w:rsidP="00695DDD">
            <w:pPr>
              <w:pStyle w:val="TableTimes"/>
            </w:pPr>
            <w:r w:rsidRPr="00E77FEA">
              <w:t>RISKNODESIXTYSEC</w:t>
            </w:r>
          </w:p>
        </w:tc>
        <w:tc>
          <w:tcPr>
            <w:tcW w:w="5840" w:type="dxa"/>
            <w:shd w:val="clear" w:color="auto" w:fill="D9D9D9" w:themeFill="background1" w:themeFillShade="D9"/>
            <w:vAlign w:val="center"/>
          </w:tcPr>
          <w:p w14:paraId="378FBE2F" w14:textId="207FD70F" w:rsidR="00E77FEA" w:rsidRPr="00E77FEA" w:rsidRDefault="00E77FEA" w:rsidP="00695DDD">
            <w:pPr>
              <w:pStyle w:val="TableTimes"/>
            </w:pPr>
            <w:r>
              <w:t>RISK60SSTATN</w:t>
            </w:r>
          </w:p>
        </w:tc>
      </w:tr>
      <w:tr w:rsidR="00E77FEA" w:rsidRPr="00E77FEA" w14:paraId="53C4EF1A" w14:textId="636A26F3" w:rsidTr="00E77FEA">
        <w:trPr>
          <w:trHeight w:val="290"/>
        </w:trPr>
        <w:tc>
          <w:tcPr>
            <w:tcW w:w="2385" w:type="dxa"/>
            <w:shd w:val="clear" w:color="auto" w:fill="auto"/>
            <w:noWrap/>
            <w:vAlign w:val="center"/>
            <w:hideMark/>
          </w:tcPr>
          <w:p w14:paraId="4E093F0F" w14:textId="77777777" w:rsidR="00E77FEA" w:rsidRPr="00E77FEA" w:rsidRDefault="00E77FEA" w:rsidP="00695DDD">
            <w:pPr>
              <w:pStyle w:val="TableTimes"/>
            </w:pPr>
            <w:r w:rsidRPr="00E77FEA">
              <w:t>GEN_CE;LINK_CE</w:t>
            </w:r>
          </w:p>
        </w:tc>
        <w:tc>
          <w:tcPr>
            <w:tcW w:w="0" w:type="auto"/>
            <w:vAlign w:val="center"/>
          </w:tcPr>
          <w:p w14:paraId="7A652392" w14:textId="15129C71" w:rsidR="00E77FEA" w:rsidRPr="00E77FEA" w:rsidRDefault="00E77FEA" w:rsidP="00695DDD">
            <w:pPr>
              <w:pStyle w:val="TableTimes"/>
            </w:pPr>
            <w:r>
              <w:t>HLY5CE;</w:t>
            </w:r>
            <w:r w:rsidRPr="009B336B">
              <w:rPr>
                <w:highlight w:val="yellow"/>
              </w:rPr>
              <w:t>LINK[HRP0;TAB0;KTW0;PRI0;TUI0;WHI1;WHI2;WHI3]CE</w:t>
            </w:r>
          </w:p>
        </w:tc>
      </w:tr>
      <w:tr w:rsidR="00E77FEA" w:rsidRPr="00E77FEA" w14:paraId="668E7837" w14:textId="06084D08" w:rsidTr="00E77FEA">
        <w:trPr>
          <w:trHeight w:val="290"/>
        </w:trPr>
        <w:tc>
          <w:tcPr>
            <w:tcW w:w="2385" w:type="dxa"/>
            <w:shd w:val="clear" w:color="auto" w:fill="auto"/>
            <w:noWrap/>
            <w:vAlign w:val="center"/>
            <w:hideMark/>
          </w:tcPr>
          <w:p w14:paraId="45158B51" w14:textId="77777777" w:rsidR="00E77FEA" w:rsidRPr="00E77FEA" w:rsidRDefault="00E77FEA" w:rsidP="00695DDD">
            <w:pPr>
              <w:pStyle w:val="TableTimes"/>
            </w:pPr>
            <w:r w:rsidRPr="00E77FEA">
              <w:t>MANUAL_CE;OTHISL_CE</w:t>
            </w:r>
          </w:p>
        </w:tc>
        <w:tc>
          <w:tcPr>
            <w:tcW w:w="0" w:type="auto"/>
            <w:vAlign w:val="center"/>
          </w:tcPr>
          <w:p w14:paraId="077FE54E" w14:textId="508C9A0E" w:rsidR="00E77FEA" w:rsidRPr="00E77FEA" w:rsidRDefault="00E77FEA" w:rsidP="00695DDD">
            <w:pPr>
              <w:pStyle w:val="TableTimes"/>
            </w:pPr>
            <w:r>
              <w:t>Manual[SIACCEMinRiskMW]CE;OtherIslandCE</w:t>
            </w:r>
          </w:p>
        </w:tc>
      </w:tr>
    </w:tbl>
    <w:p w14:paraId="7F1CF9AB" w14:textId="77777777" w:rsidR="009B336B" w:rsidRDefault="009B336B" w:rsidP="009B336B"/>
    <w:p w14:paraId="11B90983" w14:textId="603B6386" w:rsidR="00BB0882" w:rsidRDefault="00BB0882" w:rsidP="009B336B">
      <w:bookmarkStart w:id="3" w:name="_Hlk188956690"/>
      <w:r>
        <w:t>AcRiskBranchFlow result:</w:t>
      </w:r>
    </w:p>
    <w:tbl>
      <w:tblPr>
        <w:tblW w:w="752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0"/>
        <w:gridCol w:w="316"/>
        <w:gridCol w:w="1660"/>
        <w:gridCol w:w="1216"/>
        <w:gridCol w:w="1983"/>
      </w:tblGrid>
      <w:tr w:rsidR="007B5ACD" w:rsidRPr="007B5ACD" w14:paraId="471B82DA" w14:textId="77777777" w:rsidTr="007B5ACD">
        <w:trPr>
          <w:trHeight w:val="290"/>
        </w:trPr>
        <w:tc>
          <w:tcPr>
            <w:tcW w:w="2350" w:type="dxa"/>
            <w:shd w:val="clear" w:color="auto" w:fill="D9D9D9" w:themeFill="background1" w:themeFillShade="D9"/>
            <w:noWrap/>
            <w:vAlign w:val="bottom"/>
            <w:hideMark/>
          </w:tcPr>
          <w:p w14:paraId="02881C39" w14:textId="77777777" w:rsidR="007B5ACD" w:rsidRPr="007B5ACD" w:rsidRDefault="007B5ACD" w:rsidP="007B5ACD">
            <w:pPr>
              <w:pStyle w:val="TableTimes"/>
            </w:pPr>
            <w:r w:rsidRPr="007B5ACD">
              <w:t>ACRISKBRANCHFLOW</w:t>
            </w:r>
          </w:p>
        </w:tc>
        <w:tc>
          <w:tcPr>
            <w:tcW w:w="316" w:type="dxa"/>
            <w:shd w:val="clear" w:color="auto" w:fill="D9D9D9" w:themeFill="background1" w:themeFillShade="D9"/>
            <w:noWrap/>
            <w:vAlign w:val="bottom"/>
            <w:hideMark/>
          </w:tcPr>
          <w:p w14:paraId="3AAF5940" w14:textId="77777777" w:rsidR="007B5ACD" w:rsidRPr="007B5ACD" w:rsidRDefault="007B5ACD" w:rsidP="007B5ACD">
            <w:pPr>
              <w:pStyle w:val="TableTimes"/>
            </w:pPr>
            <w:r w:rsidRPr="007B5ACD">
              <w:t>1</w:t>
            </w:r>
          </w:p>
        </w:tc>
        <w:tc>
          <w:tcPr>
            <w:tcW w:w="1660" w:type="dxa"/>
            <w:shd w:val="clear" w:color="auto" w:fill="D9D9D9" w:themeFill="background1" w:themeFillShade="D9"/>
            <w:noWrap/>
            <w:vAlign w:val="bottom"/>
            <w:hideMark/>
          </w:tcPr>
          <w:p w14:paraId="73FFBBF9" w14:textId="77777777" w:rsidR="007B5ACD" w:rsidRPr="007B5ACD" w:rsidRDefault="007B5ACD" w:rsidP="007B5ACD">
            <w:pPr>
              <w:pStyle w:val="TableTimes"/>
            </w:pPr>
            <w:r w:rsidRPr="007B5ACD">
              <w:t>INTERVAL</w:t>
            </w:r>
          </w:p>
        </w:tc>
        <w:tc>
          <w:tcPr>
            <w:tcW w:w="1216" w:type="dxa"/>
            <w:shd w:val="clear" w:color="auto" w:fill="D9D9D9" w:themeFill="background1" w:themeFillShade="D9"/>
            <w:noWrap/>
            <w:vAlign w:val="bottom"/>
            <w:hideMark/>
          </w:tcPr>
          <w:p w14:paraId="34DB3A7E" w14:textId="77777777" w:rsidR="007B5ACD" w:rsidRPr="007B5ACD" w:rsidRDefault="007B5ACD" w:rsidP="007B5ACD">
            <w:pPr>
              <w:pStyle w:val="TableTimes"/>
            </w:pPr>
            <w:r w:rsidRPr="007B5ACD">
              <w:t>ACRISKID</w:t>
            </w:r>
          </w:p>
        </w:tc>
        <w:tc>
          <w:tcPr>
            <w:tcW w:w="1983" w:type="dxa"/>
            <w:shd w:val="clear" w:color="auto" w:fill="D9D9D9" w:themeFill="background1" w:themeFillShade="D9"/>
            <w:noWrap/>
            <w:vAlign w:val="bottom"/>
            <w:hideMark/>
          </w:tcPr>
          <w:p w14:paraId="595FB123" w14:textId="77777777" w:rsidR="007B5ACD" w:rsidRPr="007B5ACD" w:rsidRDefault="007B5ACD" w:rsidP="007B5ACD">
            <w:pPr>
              <w:pStyle w:val="TableTimes"/>
            </w:pPr>
            <w:r w:rsidRPr="007B5ACD">
              <w:t>BRANCHFLOWMW</w:t>
            </w:r>
          </w:p>
        </w:tc>
      </w:tr>
      <w:tr w:rsidR="007B5ACD" w:rsidRPr="007B5ACD" w14:paraId="7A366DAD" w14:textId="77777777" w:rsidTr="007B5ACD">
        <w:trPr>
          <w:trHeight w:val="290"/>
        </w:trPr>
        <w:tc>
          <w:tcPr>
            <w:tcW w:w="2350" w:type="dxa"/>
            <w:shd w:val="clear" w:color="auto" w:fill="auto"/>
            <w:noWrap/>
            <w:vAlign w:val="bottom"/>
            <w:hideMark/>
          </w:tcPr>
          <w:p w14:paraId="06A5A6A9" w14:textId="77777777" w:rsidR="007B5ACD" w:rsidRPr="007B5ACD" w:rsidRDefault="007B5ACD" w:rsidP="007B5ACD">
            <w:pPr>
              <w:pStyle w:val="TableTimes"/>
            </w:pPr>
            <w:r w:rsidRPr="007B5ACD">
              <w:t>ACRISKBRANCHFLOW</w:t>
            </w:r>
          </w:p>
        </w:tc>
        <w:tc>
          <w:tcPr>
            <w:tcW w:w="316" w:type="dxa"/>
            <w:shd w:val="clear" w:color="auto" w:fill="auto"/>
            <w:noWrap/>
            <w:vAlign w:val="bottom"/>
            <w:hideMark/>
          </w:tcPr>
          <w:p w14:paraId="1BF74AE8" w14:textId="77777777" w:rsidR="007B5ACD" w:rsidRPr="007B5ACD" w:rsidRDefault="007B5ACD" w:rsidP="007B5ACD">
            <w:pPr>
              <w:pStyle w:val="TableTimes"/>
            </w:pPr>
            <w:r w:rsidRPr="007B5ACD">
              <w:t>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90171E1" w14:textId="77777777" w:rsidR="007B5ACD" w:rsidRPr="007B5ACD" w:rsidRDefault="007B5ACD" w:rsidP="007B5ACD">
            <w:pPr>
              <w:pStyle w:val="TableTimes"/>
            </w:pPr>
            <w:r w:rsidRPr="007B5ACD">
              <w:t>27/01/2025 10:30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477ACF81" w14:textId="77777777" w:rsidR="007B5ACD" w:rsidRPr="007B5ACD" w:rsidRDefault="007B5ACD" w:rsidP="007B5ACD">
            <w:pPr>
              <w:pStyle w:val="TableTimes"/>
            </w:pPr>
            <w:r w:rsidRPr="007B5ACD">
              <w:t>5547757131</w:t>
            </w:r>
          </w:p>
        </w:tc>
        <w:tc>
          <w:tcPr>
            <w:tcW w:w="1983" w:type="dxa"/>
            <w:shd w:val="clear" w:color="auto" w:fill="auto"/>
            <w:noWrap/>
            <w:vAlign w:val="bottom"/>
            <w:hideMark/>
          </w:tcPr>
          <w:p w14:paraId="4D7770FD" w14:textId="77777777" w:rsidR="007B5ACD" w:rsidRPr="007B5ACD" w:rsidRDefault="007B5ACD" w:rsidP="007B5ACD">
            <w:pPr>
              <w:pStyle w:val="TableTimes"/>
            </w:pPr>
            <w:r w:rsidRPr="007B5ACD">
              <w:t>174.5006</w:t>
            </w:r>
          </w:p>
        </w:tc>
      </w:tr>
    </w:tbl>
    <w:bookmarkEnd w:id="3"/>
    <w:p w14:paraId="4CCE7D46" w14:textId="4BEA85D4" w:rsidR="000A1700" w:rsidRDefault="000A1700" w:rsidP="007A3D2D">
      <w:pPr>
        <w:pStyle w:val="Heading1"/>
      </w:pPr>
      <w:r>
        <w:t>Commissioning Risk</w:t>
      </w:r>
      <w:r w:rsidR="00B2095D">
        <w:t xml:space="preserve"> Inputs and Outputs</w:t>
      </w:r>
    </w:p>
    <w:p w14:paraId="7D7DDA88" w14:textId="46604172" w:rsidR="00CF6811" w:rsidRDefault="00CF6811" w:rsidP="007A3D2D">
      <w:pPr>
        <w:pStyle w:val="Heading2"/>
      </w:pPr>
      <w:r>
        <w:t>Overview</w:t>
      </w:r>
    </w:p>
    <w:p w14:paraId="2252E0EF" w14:textId="71BAA31D" w:rsidR="00CF6811" w:rsidRDefault="00E22839" w:rsidP="00CF6811">
      <w:pPr>
        <w:spacing w:before="0" w:after="0"/>
      </w:pPr>
      <w:r>
        <w:t>The new c</w:t>
      </w:r>
      <w:r w:rsidR="00CF6811">
        <w:t>ommissioning risk inputs are used for various purposes:</w:t>
      </w:r>
    </w:p>
    <w:p w14:paraId="608BF203" w14:textId="0535EB8E" w:rsidR="00CF6811" w:rsidRDefault="00CF6811" w:rsidP="00CF6811">
      <w:pPr>
        <w:pStyle w:val="ListParagraph"/>
        <w:numPr>
          <w:ilvl w:val="0"/>
          <w:numId w:val="40"/>
        </w:numPr>
        <w:spacing w:before="0" w:after="0"/>
      </w:pPr>
      <w:r>
        <w:t xml:space="preserve">to be written back </w:t>
      </w:r>
      <w:r w:rsidR="00286A94">
        <w:t xml:space="preserve">to the database </w:t>
      </w:r>
      <w:r>
        <w:t xml:space="preserve">for use by </w:t>
      </w:r>
      <w:r w:rsidR="00E22839">
        <w:t>post-schedule checks and displays</w:t>
      </w:r>
    </w:p>
    <w:p w14:paraId="73D037FA" w14:textId="1671458A" w:rsidR="00CF6811" w:rsidRDefault="00CF6811" w:rsidP="00CF6811">
      <w:pPr>
        <w:pStyle w:val="ListParagraph"/>
        <w:numPr>
          <w:ilvl w:val="0"/>
          <w:numId w:val="40"/>
        </w:numPr>
        <w:spacing w:before="0" w:after="0"/>
      </w:pPr>
      <w:r>
        <w:t xml:space="preserve">to adjust the risk on commissioning pnodes to account for the </w:t>
      </w:r>
      <w:r w:rsidR="00E22839">
        <w:t xml:space="preserve">commissioning </w:t>
      </w:r>
      <w:r>
        <w:t xml:space="preserve">risk </w:t>
      </w:r>
      <w:r w:rsidR="00E22839">
        <w:t xml:space="preserve">component of </w:t>
      </w:r>
      <w:r>
        <w:t>the NFR</w:t>
      </w:r>
      <w:r w:rsidR="00F40933">
        <w:t xml:space="preserve"> input provided by RMT.</w:t>
      </w:r>
    </w:p>
    <w:p w14:paraId="16005853" w14:textId="77777777" w:rsidR="00CF6811" w:rsidRDefault="00CF6811" w:rsidP="00CF6811">
      <w:pPr>
        <w:pStyle w:val="ListParagraph"/>
        <w:numPr>
          <w:ilvl w:val="0"/>
          <w:numId w:val="40"/>
        </w:numPr>
        <w:spacing w:before="0" w:after="0"/>
      </w:pPr>
      <w:r>
        <w:t>to zero the reserve offers on commissioning risk pnodes</w:t>
      </w:r>
    </w:p>
    <w:p w14:paraId="2B934C97" w14:textId="77777777" w:rsidR="004769F4" w:rsidRDefault="004769F4" w:rsidP="007A3D2D">
      <w:pPr>
        <w:pStyle w:val="Heading2"/>
      </w:pPr>
      <w:bookmarkStart w:id="4" w:name="_Hlk184971556"/>
      <w:r>
        <w:t>New SPD Inputs</w:t>
      </w:r>
    </w:p>
    <w:p w14:paraId="0F37CA61" w14:textId="168443DC" w:rsidR="00E22839" w:rsidRPr="00E22839" w:rsidRDefault="00E22839" w:rsidP="00E22839">
      <w:pPr>
        <w:rPr>
          <w:lang w:eastAsia="en-GB"/>
        </w:rPr>
      </w:pPr>
      <w:r>
        <w:rPr>
          <w:lang w:eastAsia="en-GB"/>
        </w:rPr>
        <w:t>New commissioning risk inputs.</w:t>
      </w:r>
    </w:p>
    <w:p w14:paraId="4CEDF6B3" w14:textId="0F0F9CC8" w:rsidR="004769F4" w:rsidRDefault="00B406E1" w:rsidP="004769F4">
      <w:r>
        <w:t xml:space="preserve">Additions to existing input section: </w:t>
      </w:r>
      <w:r w:rsidR="004769F4">
        <w:t>DAILY.UNIT</w:t>
      </w:r>
      <w:r w:rsidR="00F40933">
        <w:t>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8"/>
        <w:gridCol w:w="4971"/>
        <w:gridCol w:w="2567"/>
      </w:tblGrid>
      <w:tr w:rsidR="00CF6811" w:rsidRPr="00DA29BF" w14:paraId="6EA5C9B3" w14:textId="77777777" w:rsidTr="00556C8C">
        <w:tc>
          <w:tcPr>
            <w:tcW w:w="3150" w:type="dxa"/>
            <w:shd w:val="clear" w:color="auto" w:fill="F2F2F2" w:themeFill="background1" w:themeFillShade="F2"/>
          </w:tcPr>
          <w:p w14:paraId="747D517A" w14:textId="77777777" w:rsidR="00CF6811" w:rsidRPr="00DA29BF" w:rsidRDefault="00CF6811" w:rsidP="00556C8C">
            <w:pPr>
              <w:rPr>
                <w:sz w:val="20"/>
              </w:rPr>
            </w:pPr>
            <w:r w:rsidRPr="00DA29BF">
              <w:rPr>
                <w:sz w:val="20"/>
              </w:rPr>
              <w:t>Field</w:t>
            </w:r>
          </w:p>
        </w:tc>
        <w:tc>
          <w:tcPr>
            <w:tcW w:w="8185" w:type="dxa"/>
            <w:shd w:val="clear" w:color="auto" w:fill="F2F2F2" w:themeFill="background1" w:themeFillShade="F2"/>
          </w:tcPr>
          <w:p w14:paraId="06ABAF88" w14:textId="77777777" w:rsidR="00CF6811" w:rsidRPr="00DA29BF" w:rsidRDefault="00CF6811" w:rsidP="00556C8C">
            <w:pPr>
              <w:rPr>
                <w:sz w:val="20"/>
              </w:rPr>
            </w:pPr>
            <w:r w:rsidRPr="00DA29BF">
              <w:rPr>
                <w:sz w:val="20"/>
              </w:rPr>
              <w:t>Description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0379B1C7" w14:textId="77777777" w:rsidR="00CF6811" w:rsidRPr="00DA29BF" w:rsidRDefault="00CF6811" w:rsidP="00556C8C">
            <w:pPr>
              <w:rPr>
                <w:sz w:val="20"/>
              </w:rPr>
            </w:pPr>
            <w:r w:rsidRPr="00DA29BF">
              <w:rPr>
                <w:sz w:val="20"/>
              </w:rPr>
              <w:t>Categorisation</w:t>
            </w:r>
          </w:p>
        </w:tc>
      </w:tr>
      <w:tr w:rsidR="00CF6811" w:rsidRPr="00DA29BF" w14:paraId="2CE342C6" w14:textId="77777777" w:rsidTr="00556C8C">
        <w:tc>
          <w:tcPr>
            <w:tcW w:w="3150" w:type="dxa"/>
          </w:tcPr>
          <w:p w14:paraId="6937D0E2" w14:textId="77777777" w:rsidR="00CF6811" w:rsidRPr="00DA29BF" w:rsidRDefault="00CF6811" w:rsidP="00556C8C">
            <w:pPr>
              <w:rPr>
                <w:sz w:val="20"/>
              </w:rPr>
            </w:pPr>
            <w:r w:rsidRPr="00DA29BF">
              <w:rPr>
                <w:sz w:val="20"/>
              </w:rPr>
              <w:t>PNODENAME</w:t>
            </w:r>
          </w:p>
        </w:tc>
        <w:tc>
          <w:tcPr>
            <w:tcW w:w="8185" w:type="dxa"/>
          </w:tcPr>
          <w:p w14:paraId="1D556DDB" w14:textId="77777777" w:rsidR="00CF6811" w:rsidRPr="00DA29BF" w:rsidRDefault="00CF6811" w:rsidP="00556C8C">
            <w:pPr>
              <w:rPr>
                <w:sz w:val="20"/>
              </w:rPr>
            </w:pPr>
          </w:p>
        </w:tc>
        <w:tc>
          <w:tcPr>
            <w:tcW w:w="3544" w:type="dxa"/>
            <w:vMerge w:val="restart"/>
            <w:shd w:val="clear" w:color="auto" w:fill="auto"/>
            <w:vAlign w:val="center"/>
          </w:tcPr>
          <w:p w14:paraId="716438C8" w14:textId="77777777" w:rsidR="00CF6811" w:rsidRPr="00DA29BF" w:rsidRDefault="00CF6811" w:rsidP="00556C8C">
            <w:pPr>
              <w:rPr>
                <w:sz w:val="20"/>
              </w:rPr>
            </w:pPr>
            <w:r w:rsidRPr="00DA29BF">
              <w:rPr>
                <w:sz w:val="20"/>
              </w:rPr>
              <w:t>Existing</w:t>
            </w:r>
          </w:p>
        </w:tc>
      </w:tr>
      <w:tr w:rsidR="00CF6811" w:rsidRPr="00DA29BF" w14:paraId="0A1FFD24" w14:textId="77777777" w:rsidTr="00556C8C">
        <w:tc>
          <w:tcPr>
            <w:tcW w:w="3150" w:type="dxa"/>
          </w:tcPr>
          <w:p w14:paraId="258571FC" w14:textId="77777777" w:rsidR="00CF6811" w:rsidRPr="00DA29BF" w:rsidRDefault="00CF6811" w:rsidP="00556C8C">
            <w:pPr>
              <w:rPr>
                <w:sz w:val="20"/>
              </w:rPr>
            </w:pPr>
            <w:r w:rsidRPr="00DA29BF">
              <w:rPr>
                <w:sz w:val="20"/>
              </w:rPr>
              <w:t>UNITID</w:t>
            </w:r>
          </w:p>
        </w:tc>
        <w:tc>
          <w:tcPr>
            <w:tcW w:w="8185" w:type="dxa"/>
          </w:tcPr>
          <w:p w14:paraId="0B72920A" w14:textId="77777777" w:rsidR="00CF6811" w:rsidRPr="00DA29BF" w:rsidRDefault="00CF6811" w:rsidP="00556C8C">
            <w:pPr>
              <w:rPr>
                <w:sz w:val="20"/>
              </w:rPr>
            </w:pPr>
          </w:p>
        </w:tc>
        <w:tc>
          <w:tcPr>
            <w:tcW w:w="3544" w:type="dxa"/>
            <w:vMerge/>
            <w:shd w:val="clear" w:color="auto" w:fill="auto"/>
          </w:tcPr>
          <w:p w14:paraId="455933AB" w14:textId="77777777" w:rsidR="00CF6811" w:rsidRPr="00DA29BF" w:rsidRDefault="00CF6811" w:rsidP="00556C8C">
            <w:pPr>
              <w:rPr>
                <w:sz w:val="20"/>
              </w:rPr>
            </w:pPr>
          </w:p>
        </w:tc>
      </w:tr>
      <w:tr w:rsidR="00CF6811" w:rsidRPr="00DA29BF" w14:paraId="1C8D29CB" w14:textId="77777777" w:rsidTr="00556C8C">
        <w:tc>
          <w:tcPr>
            <w:tcW w:w="3150" w:type="dxa"/>
            <w:vAlign w:val="center"/>
          </w:tcPr>
          <w:p w14:paraId="083F15A3" w14:textId="77777777" w:rsidR="00CF6811" w:rsidRPr="00DA29BF" w:rsidRDefault="00CF6811" w:rsidP="00556C8C">
            <w:pPr>
              <w:rPr>
                <w:sz w:val="20"/>
              </w:rPr>
            </w:pPr>
            <w:r w:rsidRPr="00DA29BF">
              <w:rPr>
                <w:sz w:val="20"/>
              </w:rPr>
              <w:t>...</w:t>
            </w:r>
          </w:p>
        </w:tc>
        <w:tc>
          <w:tcPr>
            <w:tcW w:w="8185" w:type="dxa"/>
            <w:vAlign w:val="center"/>
          </w:tcPr>
          <w:p w14:paraId="772DD398" w14:textId="77777777" w:rsidR="00CF6811" w:rsidRPr="00DA29BF" w:rsidRDefault="00CF6811" w:rsidP="00556C8C">
            <w:pPr>
              <w:rPr>
                <w:sz w:val="20"/>
              </w:rPr>
            </w:pPr>
            <w:r w:rsidRPr="00DA29BF">
              <w:rPr>
                <w:sz w:val="20"/>
              </w:rPr>
              <w:t>...</w:t>
            </w:r>
          </w:p>
        </w:tc>
        <w:tc>
          <w:tcPr>
            <w:tcW w:w="3544" w:type="dxa"/>
            <w:vMerge/>
            <w:shd w:val="clear" w:color="auto" w:fill="auto"/>
          </w:tcPr>
          <w:p w14:paraId="341B7611" w14:textId="77777777" w:rsidR="00CF6811" w:rsidRPr="00DA29BF" w:rsidRDefault="00CF6811" w:rsidP="00556C8C">
            <w:pPr>
              <w:rPr>
                <w:sz w:val="20"/>
              </w:rPr>
            </w:pPr>
          </w:p>
        </w:tc>
      </w:tr>
      <w:tr w:rsidR="00CF6811" w:rsidRPr="00DA29BF" w14:paraId="18A2DEB0" w14:textId="77777777" w:rsidTr="00556C8C">
        <w:tc>
          <w:tcPr>
            <w:tcW w:w="3150" w:type="dxa"/>
          </w:tcPr>
          <w:p w14:paraId="6E890C63" w14:textId="77777777" w:rsidR="00CF6811" w:rsidRPr="00DA29BF" w:rsidRDefault="00CF6811" w:rsidP="00556C8C">
            <w:pPr>
              <w:rPr>
                <w:sz w:val="20"/>
              </w:rPr>
            </w:pPr>
            <w:r w:rsidRPr="00DA29BF">
              <w:rPr>
                <w:sz w:val="20"/>
              </w:rPr>
              <w:lastRenderedPageBreak/>
              <w:t>ISPRICERESPONSIVEIG</w:t>
            </w:r>
          </w:p>
        </w:tc>
        <w:tc>
          <w:tcPr>
            <w:tcW w:w="8185" w:type="dxa"/>
          </w:tcPr>
          <w:p w14:paraId="1AAD2249" w14:textId="77777777" w:rsidR="00CF6811" w:rsidRPr="00DA29BF" w:rsidRDefault="00CF6811" w:rsidP="00556C8C">
            <w:pPr>
              <w:rPr>
                <w:sz w:val="20"/>
              </w:rPr>
            </w:pPr>
          </w:p>
        </w:tc>
        <w:tc>
          <w:tcPr>
            <w:tcW w:w="3544" w:type="dxa"/>
            <w:vMerge/>
            <w:shd w:val="clear" w:color="auto" w:fill="auto"/>
          </w:tcPr>
          <w:p w14:paraId="7F0908C8" w14:textId="77777777" w:rsidR="00CF6811" w:rsidRPr="00DA29BF" w:rsidRDefault="00CF6811" w:rsidP="00556C8C">
            <w:pPr>
              <w:rPr>
                <w:sz w:val="20"/>
              </w:rPr>
            </w:pPr>
          </w:p>
        </w:tc>
      </w:tr>
      <w:tr w:rsidR="00CF6811" w:rsidRPr="00DA29BF" w14:paraId="35A6A116" w14:textId="77777777" w:rsidTr="00556C8C">
        <w:tc>
          <w:tcPr>
            <w:tcW w:w="3150" w:type="dxa"/>
          </w:tcPr>
          <w:p w14:paraId="3B45CD7F" w14:textId="77777777" w:rsidR="00CF6811" w:rsidRPr="00DA29BF" w:rsidRDefault="00CF6811" w:rsidP="00556C8C">
            <w:pPr>
              <w:rPr>
                <w:sz w:val="20"/>
              </w:rPr>
            </w:pPr>
            <w:r w:rsidRPr="00DA29BF">
              <w:rPr>
                <w:sz w:val="20"/>
              </w:rPr>
              <w:t>ASSOCPNODENAME</w:t>
            </w:r>
          </w:p>
        </w:tc>
        <w:tc>
          <w:tcPr>
            <w:tcW w:w="8185" w:type="dxa"/>
          </w:tcPr>
          <w:p w14:paraId="7FE94684" w14:textId="77777777" w:rsidR="00CF6811" w:rsidRPr="00DA29BF" w:rsidRDefault="00CF6811" w:rsidP="00556C8C">
            <w:pPr>
              <w:rPr>
                <w:sz w:val="20"/>
              </w:rPr>
            </w:pPr>
          </w:p>
        </w:tc>
        <w:tc>
          <w:tcPr>
            <w:tcW w:w="3544" w:type="dxa"/>
            <w:vMerge/>
            <w:shd w:val="clear" w:color="auto" w:fill="auto"/>
          </w:tcPr>
          <w:p w14:paraId="33433DCD" w14:textId="77777777" w:rsidR="00CF6811" w:rsidRPr="00DA29BF" w:rsidRDefault="00CF6811" w:rsidP="00556C8C">
            <w:pPr>
              <w:rPr>
                <w:sz w:val="20"/>
              </w:rPr>
            </w:pPr>
          </w:p>
        </w:tc>
      </w:tr>
      <w:tr w:rsidR="00CF6811" w:rsidRPr="00DA29BF" w14:paraId="04E9F7DE" w14:textId="77777777" w:rsidTr="00556C8C">
        <w:tc>
          <w:tcPr>
            <w:tcW w:w="3150" w:type="dxa"/>
          </w:tcPr>
          <w:p w14:paraId="547EAAFF" w14:textId="77777777" w:rsidR="00CF6811" w:rsidRPr="00DA29BF" w:rsidRDefault="00CF6811" w:rsidP="00556C8C">
            <w:pPr>
              <w:rPr>
                <w:sz w:val="20"/>
                <w:highlight w:val="green"/>
              </w:rPr>
            </w:pPr>
            <w:r w:rsidRPr="00DA29BF">
              <w:rPr>
                <w:sz w:val="20"/>
                <w:highlight w:val="green"/>
              </w:rPr>
              <w:t>COMMRISKMWCE</w:t>
            </w:r>
          </w:p>
        </w:tc>
        <w:tc>
          <w:tcPr>
            <w:tcW w:w="8185" w:type="dxa"/>
          </w:tcPr>
          <w:p w14:paraId="1A72E8F5" w14:textId="77777777" w:rsidR="00CF6811" w:rsidRPr="00DA29BF" w:rsidRDefault="00CF6811" w:rsidP="00556C8C">
            <w:pPr>
              <w:rPr>
                <w:sz w:val="20"/>
              </w:rPr>
            </w:pPr>
            <w:r w:rsidRPr="00DA29BF">
              <w:rPr>
                <w:sz w:val="20"/>
              </w:rPr>
              <w:t>CE commissioning risk level calculated by RMT. For reporting and used by SPD to adjust the risk on commissioning pnodes to account for the commissioning risk component of the NFR</w:t>
            </w:r>
          </w:p>
        </w:tc>
        <w:tc>
          <w:tcPr>
            <w:tcW w:w="3544" w:type="dxa"/>
            <w:vMerge w:val="restart"/>
            <w:shd w:val="clear" w:color="auto" w:fill="F2F2F2" w:themeFill="background1" w:themeFillShade="F2"/>
            <w:vAlign w:val="center"/>
          </w:tcPr>
          <w:p w14:paraId="455FBD32" w14:textId="77777777" w:rsidR="00CF6811" w:rsidRPr="00DA29BF" w:rsidRDefault="00CF6811" w:rsidP="00556C8C">
            <w:pPr>
              <w:rPr>
                <w:sz w:val="20"/>
              </w:rPr>
            </w:pPr>
            <w:r w:rsidRPr="00DA29BF">
              <w:rPr>
                <w:sz w:val="20"/>
              </w:rPr>
              <w:t>Used by SPD and written out</w:t>
            </w:r>
          </w:p>
        </w:tc>
      </w:tr>
      <w:tr w:rsidR="00CF6811" w:rsidRPr="00DA29BF" w14:paraId="59BFE47F" w14:textId="77777777" w:rsidTr="00556C8C">
        <w:tc>
          <w:tcPr>
            <w:tcW w:w="3150" w:type="dxa"/>
          </w:tcPr>
          <w:p w14:paraId="1ED6A4D1" w14:textId="77777777" w:rsidR="00CF6811" w:rsidRPr="00DA29BF" w:rsidRDefault="00CF6811" w:rsidP="00556C8C">
            <w:pPr>
              <w:rPr>
                <w:sz w:val="20"/>
                <w:highlight w:val="green"/>
              </w:rPr>
            </w:pPr>
            <w:r w:rsidRPr="00DA29BF">
              <w:rPr>
                <w:sz w:val="20"/>
                <w:highlight w:val="green"/>
              </w:rPr>
              <w:t>COMMRISKMWECE</w:t>
            </w:r>
          </w:p>
        </w:tc>
        <w:tc>
          <w:tcPr>
            <w:tcW w:w="8185" w:type="dxa"/>
          </w:tcPr>
          <w:p w14:paraId="2B7D9D00" w14:textId="77777777" w:rsidR="00CF6811" w:rsidRPr="00DA29BF" w:rsidRDefault="00CF6811" w:rsidP="00556C8C">
            <w:pPr>
              <w:rPr>
                <w:sz w:val="20"/>
              </w:rPr>
            </w:pPr>
            <w:r w:rsidRPr="00DA29BF">
              <w:rPr>
                <w:sz w:val="20"/>
              </w:rPr>
              <w:t>ECE version of the above</w:t>
            </w:r>
          </w:p>
        </w:tc>
        <w:tc>
          <w:tcPr>
            <w:tcW w:w="3544" w:type="dxa"/>
            <w:vMerge/>
            <w:shd w:val="clear" w:color="auto" w:fill="F2F2F2" w:themeFill="background1" w:themeFillShade="F2"/>
          </w:tcPr>
          <w:p w14:paraId="0CFCCFE3" w14:textId="77777777" w:rsidR="00CF6811" w:rsidRPr="00DA29BF" w:rsidRDefault="00CF6811" w:rsidP="00556C8C">
            <w:pPr>
              <w:rPr>
                <w:sz w:val="20"/>
              </w:rPr>
            </w:pPr>
          </w:p>
        </w:tc>
      </w:tr>
      <w:tr w:rsidR="00CF6811" w:rsidRPr="00DA29BF" w14:paraId="5221BADE" w14:textId="77777777" w:rsidTr="00556C8C">
        <w:tc>
          <w:tcPr>
            <w:tcW w:w="3150" w:type="dxa"/>
          </w:tcPr>
          <w:p w14:paraId="31ADBC59" w14:textId="77777777" w:rsidR="00CF6811" w:rsidRPr="00DA29BF" w:rsidRDefault="00CF6811" w:rsidP="00556C8C">
            <w:pPr>
              <w:rPr>
                <w:sz w:val="20"/>
                <w:highlight w:val="green"/>
              </w:rPr>
            </w:pPr>
            <w:r w:rsidRPr="00DA29BF">
              <w:rPr>
                <w:sz w:val="20"/>
                <w:highlight w:val="green"/>
              </w:rPr>
              <w:t>ISPARTCOMM</w:t>
            </w:r>
          </w:p>
        </w:tc>
        <w:tc>
          <w:tcPr>
            <w:tcW w:w="8185" w:type="dxa"/>
          </w:tcPr>
          <w:p w14:paraId="711F5E7F" w14:textId="6D8BC4C3" w:rsidR="00CF6811" w:rsidRPr="00DA29BF" w:rsidRDefault="00CF6811" w:rsidP="00556C8C">
            <w:pPr>
              <w:rPr>
                <w:sz w:val="20"/>
              </w:rPr>
            </w:pPr>
            <w:r w:rsidRPr="00DA29BF">
              <w:rPr>
                <w:sz w:val="20"/>
              </w:rPr>
              <w:t>A value of 1 for a commissioning pnode indicates that only part of the output was considered as commissioning risk by RMT. For reporting and used by the SPD logic that zeroes the reserve on a commissioning risk pnode</w:t>
            </w:r>
            <w:r w:rsidR="00286A94">
              <w:rPr>
                <w:sz w:val="20"/>
              </w:rPr>
              <w:t xml:space="preserve"> (reserve is not zeroed if part commissioning is true).</w:t>
            </w:r>
          </w:p>
        </w:tc>
        <w:tc>
          <w:tcPr>
            <w:tcW w:w="3544" w:type="dxa"/>
            <w:vMerge/>
            <w:shd w:val="clear" w:color="auto" w:fill="F2F2F2" w:themeFill="background1" w:themeFillShade="F2"/>
          </w:tcPr>
          <w:p w14:paraId="5B7928DE" w14:textId="77777777" w:rsidR="00CF6811" w:rsidRPr="00DA29BF" w:rsidRDefault="00CF6811" w:rsidP="00556C8C">
            <w:pPr>
              <w:rPr>
                <w:sz w:val="20"/>
              </w:rPr>
            </w:pPr>
          </w:p>
        </w:tc>
      </w:tr>
      <w:tr w:rsidR="00CF6811" w:rsidRPr="00DA29BF" w14:paraId="08D13A11" w14:textId="77777777" w:rsidTr="00556C8C">
        <w:tc>
          <w:tcPr>
            <w:tcW w:w="3150" w:type="dxa"/>
          </w:tcPr>
          <w:p w14:paraId="730AB7E7" w14:textId="77777777" w:rsidR="00CF6811" w:rsidRPr="00DA29BF" w:rsidRDefault="00CF6811" w:rsidP="00556C8C">
            <w:pPr>
              <w:rPr>
                <w:sz w:val="20"/>
                <w:highlight w:val="green"/>
              </w:rPr>
            </w:pPr>
            <w:r w:rsidRPr="00DA29BF">
              <w:rPr>
                <w:sz w:val="20"/>
                <w:highlight w:val="green"/>
              </w:rPr>
              <w:t>ISCOMMISSIONING</w:t>
            </w:r>
          </w:p>
        </w:tc>
        <w:tc>
          <w:tcPr>
            <w:tcW w:w="8185" w:type="dxa"/>
          </w:tcPr>
          <w:p w14:paraId="7D3E1046" w14:textId="607F7DDE" w:rsidR="00CF6811" w:rsidRPr="00DA29BF" w:rsidRDefault="00CF6811" w:rsidP="00556C8C">
            <w:pPr>
              <w:rPr>
                <w:sz w:val="20"/>
              </w:rPr>
            </w:pPr>
            <w:r w:rsidRPr="00DA29BF">
              <w:rPr>
                <w:sz w:val="20"/>
              </w:rPr>
              <w:t>A value of 1 indicates that the pnode was treated as a commissioning risk by RMT. For reporting and used by the SPD logic that zeroes the reserve on a commissioning risk pnode</w:t>
            </w:r>
            <w:r w:rsidR="00286A94">
              <w:rPr>
                <w:sz w:val="20"/>
              </w:rPr>
              <w:t xml:space="preserve"> (reserve is zeroed if commissioning is true provided that part commissioning is false).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51035B45" w14:textId="77777777" w:rsidR="00CF6811" w:rsidRPr="00DA29BF" w:rsidRDefault="00CF6811" w:rsidP="00556C8C">
            <w:pPr>
              <w:rPr>
                <w:sz w:val="20"/>
              </w:rPr>
            </w:pPr>
          </w:p>
        </w:tc>
      </w:tr>
      <w:tr w:rsidR="00CF6811" w:rsidRPr="00DA29BF" w14:paraId="2FDE3453" w14:textId="77777777" w:rsidTr="00556C8C">
        <w:tc>
          <w:tcPr>
            <w:tcW w:w="3150" w:type="dxa"/>
          </w:tcPr>
          <w:p w14:paraId="5DAD430A" w14:textId="77777777" w:rsidR="00CF6811" w:rsidRPr="00DA29BF" w:rsidRDefault="00CF6811" w:rsidP="00556C8C">
            <w:pPr>
              <w:rPr>
                <w:sz w:val="20"/>
                <w:highlight w:val="green"/>
              </w:rPr>
            </w:pPr>
            <w:r w:rsidRPr="00DA29BF">
              <w:rPr>
                <w:sz w:val="20"/>
                <w:highlight w:val="green"/>
              </w:rPr>
              <w:t>CEFULLYCOMMISSIONED</w:t>
            </w:r>
          </w:p>
        </w:tc>
        <w:tc>
          <w:tcPr>
            <w:tcW w:w="8185" w:type="dxa"/>
          </w:tcPr>
          <w:p w14:paraId="5AF1BE8F" w14:textId="77777777" w:rsidR="00CF6811" w:rsidRPr="00DA29BF" w:rsidRDefault="00CF6811" w:rsidP="00556C8C">
            <w:pPr>
              <w:rPr>
                <w:sz w:val="20"/>
              </w:rPr>
            </w:pPr>
            <w:r w:rsidRPr="00DA29BF">
              <w:rPr>
                <w:sz w:val="20"/>
              </w:rPr>
              <w:t xml:space="preserve">A </w:t>
            </w:r>
            <w:r>
              <w:rPr>
                <w:sz w:val="20"/>
              </w:rPr>
              <w:t xml:space="preserve">record of the </w:t>
            </w:r>
            <w:r w:rsidRPr="00DA29BF">
              <w:rPr>
                <w:sz w:val="20"/>
              </w:rPr>
              <w:t xml:space="preserve">value </w:t>
            </w:r>
            <w:r>
              <w:rPr>
                <w:sz w:val="20"/>
              </w:rPr>
              <w:t xml:space="preserve">used by </w:t>
            </w:r>
            <w:r w:rsidRPr="00DA29BF">
              <w:rPr>
                <w:sz w:val="20"/>
              </w:rPr>
              <w:t>RMT</w:t>
            </w:r>
            <w:r>
              <w:rPr>
                <w:sz w:val="20"/>
              </w:rPr>
              <w:t>. For reporting only.</w:t>
            </w:r>
          </w:p>
        </w:tc>
        <w:tc>
          <w:tcPr>
            <w:tcW w:w="3544" w:type="dxa"/>
            <w:vMerge w:val="restart"/>
            <w:shd w:val="clear" w:color="auto" w:fill="auto"/>
            <w:vAlign w:val="center"/>
          </w:tcPr>
          <w:p w14:paraId="07284B52" w14:textId="462DA335" w:rsidR="00CF6811" w:rsidRPr="00DA29BF" w:rsidRDefault="00CF6811" w:rsidP="00556C8C">
            <w:pPr>
              <w:rPr>
                <w:sz w:val="20"/>
              </w:rPr>
            </w:pPr>
            <w:r w:rsidRPr="00DA29BF">
              <w:rPr>
                <w:sz w:val="20"/>
              </w:rPr>
              <w:t xml:space="preserve">Not used by SPD. Written back </w:t>
            </w:r>
            <w:r w:rsidR="003E3097">
              <w:rPr>
                <w:sz w:val="20"/>
              </w:rPr>
              <w:t xml:space="preserve">to the database </w:t>
            </w:r>
            <w:r w:rsidRPr="00DA29BF">
              <w:rPr>
                <w:sz w:val="20"/>
              </w:rPr>
              <w:t>so that checks can recalculate CommRiskMW using the generation</w:t>
            </w:r>
            <w:r w:rsidR="00F40933">
              <w:rPr>
                <w:sz w:val="20"/>
              </w:rPr>
              <w:t xml:space="preserve"> result.</w:t>
            </w:r>
          </w:p>
        </w:tc>
      </w:tr>
      <w:tr w:rsidR="00CF6811" w:rsidRPr="00DA29BF" w14:paraId="6AEC90F8" w14:textId="77777777" w:rsidTr="00556C8C">
        <w:tc>
          <w:tcPr>
            <w:tcW w:w="3150" w:type="dxa"/>
          </w:tcPr>
          <w:p w14:paraId="7A8A1C15" w14:textId="77777777" w:rsidR="00CF6811" w:rsidRPr="00DA29BF" w:rsidRDefault="00CF6811" w:rsidP="00556C8C">
            <w:pPr>
              <w:rPr>
                <w:sz w:val="20"/>
                <w:highlight w:val="green"/>
              </w:rPr>
            </w:pPr>
            <w:r w:rsidRPr="00DA29BF">
              <w:rPr>
                <w:sz w:val="20"/>
                <w:highlight w:val="green"/>
              </w:rPr>
              <w:t>CECOMMLEVEL</w:t>
            </w:r>
          </w:p>
        </w:tc>
        <w:tc>
          <w:tcPr>
            <w:tcW w:w="8185" w:type="dxa"/>
          </w:tcPr>
          <w:p w14:paraId="1F6439DB" w14:textId="77777777" w:rsidR="00CF6811" w:rsidRPr="00DA29BF" w:rsidRDefault="00CF6811" w:rsidP="00556C8C">
            <w:pPr>
              <w:rPr>
                <w:sz w:val="20"/>
              </w:rPr>
            </w:pPr>
            <w:r w:rsidRPr="00DA29BF">
              <w:rPr>
                <w:sz w:val="20"/>
              </w:rPr>
              <w:t xml:space="preserve">A </w:t>
            </w:r>
            <w:r>
              <w:rPr>
                <w:sz w:val="20"/>
              </w:rPr>
              <w:t xml:space="preserve">record of the </w:t>
            </w:r>
            <w:r w:rsidRPr="00DA29BF">
              <w:rPr>
                <w:sz w:val="20"/>
              </w:rPr>
              <w:t xml:space="preserve">value </w:t>
            </w:r>
            <w:r>
              <w:rPr>
                <w:sz w:val="20"/>
              </w:rPr>
              <w:t xml:space="preserve">used by </w:t>
            </w:r>
            <w:r w:rsidRPr="00DA29BF">
              <w:rPr>
                <w:sz w:val="20"/>
              </w:rPr>
              <w:t>RMT</w:t>
            </w:r>
            <w:r>
              <w:rPr>
                <w:sz w:val="20"/>
              </w:rPr>
              <w:t>. For reporting only.</w:t>
            </w:r>
          </w:p>
        </w:tc>
        <w:tc>
          <w:tcPr>
            <w:tcW w:w="3544" w:type="dxa"/>
            <w:vMerge/>
            <w:shd w:val="clear" w:color="auto" w:fill="auto"/>
          </w:tcPr>
          <w:p w14:paraId="630C5382" w14:textId="77777777" w:rsidR="00CF6811" w:rsidRPr="00DA29BF" w:rsidRDefault="00CF6811" w:rsidP="00556C8C">
            <w:pPr>
              <w:rPr>
                <w:sz w:val="20"/>
              </w:rPr>
            </w:pPr>
          </w:p>
        </w:tc>
      </w:tr>
      <w:tr w:rsidR="00CF6811" w:rsidRPr="00DA29BF" w14:paraId="5B81916A" w14:textId="77777777" w:rsidTr="00556C8C">
        <w:tc>
          <w:tcPr>
            <w:tcW w:w="3150" w:type="dxa"/>
          </w:tcPr>
          <w:p w14:paraId="108265C5" w14:textId="77777777" w:rsidR="00CF6811" w:rsidRPr="00DA29BF" w:rsidRDefault="00CF6811" w:rsidP="00556C8C">
            <w:pPr>
              <w:rPr>
                <w:sz w:val="20"/>
                <w:highlight w:val="green"/>
              </w:rPr>
            </w:pPr>
            <w:r w:rsidRPr="00DA29BF">
              <w:rPr>
                <w:sz w:val="20"/>
                <w:highlight w:val="green"/>
              </w:rPr>
              <w:t>MAXCOMMMW</w:t>
            </w:r>
          </w:p>
        </w:tc>
        <w:tc>
          <w:tcPr>
            <w:tcW w:w="8185" w:type="dxa"/>
          </w:tcPr>
          <w:p w14:paraId="7586EACA" w14:textId="77777777" w:rsidR="00CF6811" w:rsidRPr="00DA29BF" w:rsidRDefault="00CF6811" w:rsidP="00556C8C">
            <w:pPr>
              <w:rPr>
                <w:sz w:val="20"/>
              </w:rPr>
            </w:pPr>
            <w:r w:rsidRPr="00DA29BF">
              <w:rPr>
                <w:sz w:val="20"/>
              </w:rPr>
              <w:t xml:space="preserve">A </w:t>
            </w:r>
            <w:r>
              <w:rPr>
                <w:sz w:val="20"/>
              </w:rPr>
              <w:t xml:space="preserve">record of the </w:t>
            </w:r>
            <w:r w:rsidRPr="00DA29BF">
              <w:rPr>
                <w:sz w:val="20"/>
              </w:rPr>
              <w:t xml:space="preserve">value </w:t>
            </w:r>
            <w:r>
              <w:rPr>
                <w:sz w:val="20"/>
              </w:rPr>
              <w:t xml:space="preserve">used by </w:t>
            </w:r>
            <w:r w:rsidRPr="00DA29BF">
              <w:rPr>
                <w:sz w:val="20"/>
              </w:rPr>
              <w:t>RMT</w:t>
            </w:r>
            <w:r>
              <w:rPr>
                <w:sz w:val="20"/>
              </w:rPr>
              <w:t>. For reporting only.</w:t>
            </w:r>
          </w:p>
        </w:tc>
        <w:tc>
          <w:tcPr>
            <w:tcW w:w="3544" w:type="dxa"/>
            <w:vMerge/>
            <w:shd w:val="clear" w:color="auto" w:fill="auto"/>
          </w:tcPr>
          <w:p w14:paraId="53EA3860" w14:textId="77777777" w:rsidR="00CF6811" w:rsidRPr="00DA29BF" w:rsidRDefault="00CF6811" w:rsidP="00556C8C">
            <w:pPr>
              <w:rPr>
                <w:sz w:val="20"/>
              </w:rPr>
            </w:pPr>
          </w:p>
        </w:tc>
      </w:tr>
      <w:tr w:rsidR="00CF6811" w:rsidRPr="00DA29BF" w14:paraId="6EAF54DD" w14:textId="77777777" w:rsidTr="00556C8C">
        <w:tc>
          <w:tcPr>
            <w:tcW w:w="3150" w:type="dxa"/>
          </w:tcPr>
          <w:p w14:paraId="14B487D8" w14:textId="77777777" w:rsidR="00CF6811" w:rsidRPr="00DA29BF" w:rsidRDefault="00CF6811" w:rsidP="00556C8C">
            <w:pPr>
              <w:rPr>
                <w:sz w:val="20"/>
                <w:highlight w:val="green"/>
              </w:rPr>
            </w:pPr>
            <w:r w:rsidRPr="00DA29BF">
              <w:rPr>
                <w:sz w:val="20"/>
                <w:highlight w:val="green"/>
              </w:rPr>
              <w:t>RMTCASEID</w:t>
            </w:r>
          </w:p>
        </w:tc>
        <w:tc>
          <w:tcPr>
            <w:tcW w:w="8185" w:type="dxa"/>
          </w:tcPr>
          <w:p w14:paraId="6CCC385E" w14:textId="77777777" w:rsidR="00CF6811" w:rsidRPr="00DA29BF" w:rsidRDefault="00CF6811" w:rsidP="00556C8C">
            <w:pPr>
              <w:rPr>
                <w:sz w:val="20"/>
              </w:rPr>
            </w:pPr>
            <w:r w:rsidRPr="00DA29BF">
              <w:rPr>
                <w:sz w:val="20"/>
              </w:rPr>
              <w:t>Identifies the RMT case that was the source of the RMT data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719B5240" w14:textId="77777777" w:rsidR="00CF6811" w:rsidRPr="00DA29BF" w:rsidRDefault="00CF6811" w:rsidP="00556C8C">
            <w:pPr>
              <w:rPr>
                <w:sz w:val="20"/>
              </w:rPr>
            </w:pPr>
            <w:r w:rsidRPr="00DA29BF">
              <w:rPr>
                <w:sz w:val="20"/>
              </w:rPr>
              <w:t>Not used by SPD. Not written out</w:t>
            </w:r>
          </w:p>
        </w:tc>
      </w:tr>
    </w:tbl>
    <w:bookmarkEnd w:id="4"/>
    <w:p w14:paraId="6EDEE8A6" w14:textId="77777777" w:rsidR="004769F4" w:rsidRDefault="004769F4" w:rsidP="007A3D2D">
      <w:pPr>
        <w:pStyle w:val="Heading2"/>
      </w:pPr>
      <w:r>
        <w:t>New SPD outputs</w:t>
      </w:r>
    </w:p>
    <w:p w14:paraId="14BAB9D4" w14:textId="1A382B46" w:rsidR="00E22839" w:rsidRPr="00E22839" w:rsidRDefault="00E22839" w:rsidP="00E22839">
      <w:pPr>
        <w:rPr>
          <w:lang w:eastAsia="en-GB"/>
        </w:rPr>
      </w:pPr>
      <w:r>
        <w:rPr>
          <w:lang w:eastAsia="en-GB"/>
        </w:rPr>
        <w:t>New commissioning risk outputs.</w:t>
      </w:r>
    </w:p>
    <w:p w14:paraId="67453F19" w14:textId="35362FA5" w:rsidR="00CF6811" w:rsidRDefault="00B406E1" w:rsidP="00B406E1">
      <w:pPr>
        <w:spacing w:before="0" w:after="0" w:line="259" w:lineRule="auto"/>
        <w:contextualSpacing w:val="0"/>
      </w:pPr>
      <w:r>
        <w:t>Addition to existing output section:</w:t>
      </w:r>
      <w:r w:rsidR="00F40933">
        <w:t xml:space="preserve"> </w:t>
      </w:r>
      <w:r w:rsidR="00CF6811">
        <w:t>ISLAND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7767"/>
      </w:tblGrid>
      <w:tr w:rsidR="00CF6811" w:rsidRPr="00DA29BF" w14:paraId="3BF1625E" w14:textId="77777777" w:rsidTr="003E3097">
        <w:tc>
          <w:tcPr>
            <w:tcW w:w="2689" w:type="dxa"/>
            <w:shd w:val="clear" w:color="auto" w:fill="F2F2F2" w:themeFill="background1" w:themeFillShade="F2"/>
          </w:tcPr>
          <w:p w14:paraId="66928A62" w14:textId="77777777" w:rsidR="00CF6811" w:rsidRPr="00DA29BF" w:rsidRDefault="00CF6811" w:rsidP="00556C8C">
            <w:pPr>
              <w:rPr>
                <w:sz w:val="20"/>
                <w:szCs w:val="16"/>
              </w:rPr>
            </w:pPr>
            <w:r w:rsidRPr="00DA29BF">
              <w:rPr>
                <w:sz w:val="20"/>
                <w:szCs w:val="16"/>
              </w:rPr>
              <w:t>Field</w:t>
            </w:r>
          </w:p>
        </w:tc>
        <w:tc>
          <w:tcPr>
            <w:tcW w:w="7767" w:type="dxa"/>
            <w:shd w:val="clear" w:color="auto" w:fill="F2F2F2" w:themeFill="background1" w:themeFillShade="F2"/>
          </w:tcPr>
          <w:p w14:paraId="1ED3BC74" w14:textId="77777777" w:rsidR="00CF6811" w:rsidRPr="00DA29BF" w:rsidRDefault="00CF6811" w:rsidP="00556C8C">
            <w:pPr>
              <w:rPr>
                <w:sz w:val="20"/>
                <w:szCs w:val="16"/>
              </w:rPr>
            </w:pPr>
            <w:r w:rsidRPr="00DA29BF">
              <w:rPr>
                <w:sz w:val="20"/>
                <w:szCs w:val="16"/>
              </w:rPr>
              <w:t>Description</w:t>
            </w:r>
          </w:p>
        </w:tc>
      </w:tr>
      <w:tr w:rsidR="00CF6811" w:rsidRPr="00DA29BF" w14:paraId="145CB5B7" w14:textId="77777777" w:rsidTr="003E3097">
        <w:tc>
          <w:tcPr>
            <w:tcW w:w="2689" w:type="dxa"/>
          </w:tcPr>
          <w:p w14:paraId="36577AC7" w14:textId="77777777" w:rsidR="00CF6811" w:rsidRPr="00DA29BF" w:rsidRDefault="00CF6811" w:rsidP="00556C8C">
            <w:pPr>
              <w:rPr>
                <w:sz w:val="20"/>
                <w:szCs w:val="16"/>
              </w:rPr>
            </w:pPr>
            <w:r w:rsidRPr="00DA29BF">
              <w:rPr>
                <w:sz w:val="20"/>
                <w:szCs w:val="16"/>
              </w:rPr>
              <w:t>INTERVAL</w:t>
            </w:r>
          </w:p>
        </w:tc>
        <w:tc>
          <w:tcPr>
            <w:tcW w:w="7767" w:type="dxa"/>
            <w:vMerge w:val="restart"/>
            <w:vAlign w:val="center"/>
          </w:tcPr>
          <w:p w14:paraId="550DFAD6" w14:textId="77777777" w:rsidR="00CF6811" w:rsidRPr="00DA29BF" w:rsidRDefault="00CF6811" w:rsidP="00556C8C">
            <w:pPr>
              <w:rPr>
                <w:sz w:val="20"/>
                <w:szCs w:val="16"/>
                <w:highlight w:val="cyan"/>
              </w:rPr>
            </w:pPr>
            <w:r w:rsidRPr="00DA29BF">
              <w:rPr>
                <w:sz w:val="20"/>
                <w:szCs w:val="16"/>
              </w:rPr>
              <w:t>Existing</w:t>
            </w:r>
          </w:p>
        </w:tc>
      </w:tr>
      <w:tr w:rsidR="00CF6811" w:rsidRPr="00DA29BF" w14:paraId="139B7239" w14:textId="77777777" w:rsidTr="003E3097">
        <w:tc>
          <w:tcPr>
            <w:tcW w:w="2689" w:type="dxa"/>
          </w:tcPr>
          <w:p w14:paraId="43B3FC61" w14:textId="77777777" w:rsidR="00CF6811" w:rsidRPr="00DA29BF" w:rsidRDefault="00CF6811" w:rsidP="00556C8C">
            <w:pPr>
              <w:rPr>
                <w:sz w:val="20"/>
                <w:szCs w:val="16"/>
                <w:highlight w:val="cyan"/>
              </w:rPr>
            </w:pPr>
            <w:r w:rsidRPr="00DA29BF">
              <w:rPr>
                <w:sz w:val="20"/>
                <w:szCs w:val="16"/>
              </w:rPr>
              <w:t>ISLANDNAME</w:t>
            </w:r>
          </w:p>
        </w:tc>
        <w:tc>
          <w:tcPr>
            <w:tcW w:w="7767" w:type="dxa"/>
            <w:vMerge/>
            <w:vAlign w:val="center"/>
          </w:tcPr>
          <w:p w14:paraId="6AE5F957" w14:textId="77777777" w:rsidR="00CF6811" w:rsidRPr="00DA29BF" w:rsidRDefault="00CF6811" w:rsidP="00556C8C">
            <w:pPr>
              <w:rPr>
                <w:sz w:val="20"/>
                <w:szCs w:val="16"/>
                <w:highlight w:val="cyan"/>
              </w:rPr>
            </w:pPr>
          </w:p>
        </w:tc>
      </w:tr>
      <w:tr w:rsidR="00CF6811" w:rsidRPr="00DA29BF" w14:paraId="30173578" w14:textId="77777777" w:rsidTr="003E3097">
        <w:tc>
          <w:tcPr>
            <w:tcW w:w="2689" w:type="dxa"/>
          </w:tcPr>
          <w:p w14:paraId="4D79B2AC" w14:textId="77777777" w:rsidR="00CF6811" w:rsidRPr="00DA29BF" w:rsidRDefault="00CF6811" w:rsidP="00556C8C">
            <w:pPr>
              <w:rPr>
                <w:sz w:val="20"/>
                <w:szCs w:val="16"/>
                <w:highlight w:val="cyan"/>
              </w:rPr>
            </w:pPr>
            <w:r w:rsidRPr="00DA29BF">
              <w:rPr>
                <w:sz w:val="20"/>
                <w:szCs w:val="16"/>
              </w:rPr>
              <w:t>...</w:t>
            </w:r>
          </w:p>
        </w:tc>
        <w:tc>
          <w:tcPr>
            <w:tcW w:w="7767" w:type="dxa"/>
            <w:vMerge/>
            <w:vAlign w:val="center"/>
          </w:tcPr>
          <w:p w14:paraId="50C852A4" w14:textId="77777777" w:rsidR="00CF6811" w:rsidRPr="00DA29BF" w:rsidRDefault="00CF6811" w:rsidP="00556C8C">
            <w:pPr>
              <w:rPr>
                <w:sz w:val="20"/>
                <w:szCs w:val="16"/>
                <w:highlight w:val="cyan"/>
              </w:rPr>
            </w:pPr>
          </w:p>
        </w:tc>
      </w:tr>
      <w:tr w:rsidR="00CF6811" w:rsidRPr="00DA29BF" w14:paraId="455DC36B" w14:textId="77777777" w:rsidTr="003E3097">
        <w:tc>
          <w:tcPr>
            <w:tcW w:w="2689" w:type="dxa"/>
          </w:tcPr>
          <w:p w14:paraId="056B18E9" w14:textId="77777777" w:rsidR="00CF6811" w:rsidRPr="00DA29BF" w:rsidRDefault="00CF6811" w:rsidP="00556C8C">
            <w:pPr>
              <w:rPr>
                <w:sz w:val="20"/>
                <w:szCs w:val="16"/>
              </w:rPr>
            </w:pPr>
            <w:r w:rsidRPr="00DA29BF">
              <w:rPr>
                <w:sz w:val="20"/>
                <w:szCs w:val="16"/>
              </w:rPr>
              <w:t>HVDCRESIDUAL</w:t>
            </w:r>
          </w:p>
        </w:tc>
        <w:tc>
          <w:tcPr>
            <w:tcW w:w="7767" w:type="dxa"/>
            <w:vMerge/>
            <w:vAlign w:val="center"/>
          </w:tcPr>
          <w:p w14:paraId="78A74DBA" w14:textId="77777777" w:rsidR="00CF6811" w:rsidRPr="00DA29BF" w:rsidRDefault="00CF6811" w:rsidP="00556C8C">
            <w:pPr>
              <w:rPr>
                <w:sz w:val="20"/>
                <w:szCs w:val="16"/>
              </w:rPr>
            </w:pPr>
          </w:p>
        </w:tc>
      </w:tr>
      <w:tr w:rsidR="00CF6811" w:rsidRPr="00DA29BF" w14:paraId="2626B176" w14:textId="77777777" w:rsidTr="003E3097">
        <w:tc>
          <w:tcPr>
            <w:tcW w:w="2689" w:type="dxa"/>
          </w:tcPr>
          <w:p w14:paraId="391EBA9C" w14:textId="77777777" w:rsidR="00CF6811" w:rsidRPr="00DA29BF" w:rsidRDefault="00CF6811" w:rsidP="00556C8C">
            <w:pPr>
              <w:rPr>
                <w:sz w:val="20"/>
                <w:szCs w:val="16"/>
                <w:highlight w:val="green"/>
              </w:rPr>
            </w:pPr>
            <w:r w:rsidRPr="00DA29BF">
              <w:rPr>
                <w:sz w:val="20"/>
                <w:szCs w:val="16"/>
                <w:highlight w:val="green"/>
              </w:rPr>
              <w:t>COMMRISKMWCE</w:t>
            </w:r>
          </w:p>
        </w:tc>
        <w:tc>
          <w:tcPr>
            <w:tcW w:w="7767" w:type="dxa"/>
            <w:vMerge w:val="restart"/>
            <w:shd w:val="clear" w:color="auto" w:fill="F2F2F2" w:themeFill="background1" w:themeFillShade="F2"/>
            <w:vAlign w:val="center"/>
          </w:tcPr>
          <w:p w14:paraId="6AE9CB3C" w14:textId="77777777" w:rsidR="00CF6811" w:rsidRPr="00DA29BF" w:rsidRDefault="00CF6811" w:rsidP="00556C8C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Sum of inputs taken</w:t>
            </w:r>
            <w:r w:rsidRPr="00DA29BF">
              <w:rPr>
                <w:sz w:val="20"/>
                <w:szCs w:val="16"/>
              </w:rPr>
              <w:t xml:space="preserve"> over all pnodes in the island</w:t>
            </w:r>
          </w:p>
        </w:tc>
      </w:tr>
      <w:tr w:rsidR="00CF6811" w:rsidRPr="00DA29BF" w14:paraId="11F51745" w14:textId="77777777" w:rsidTr="003E3097">
        <w:tc>
          <w:tcPr>
            <w:tcW w:w="2689" w:type="dxa"/>
          </w:tcPr>
          <w:p w14:paraId="3572CEAA" w14:textId="77777777" w:rsidR="00CF6811" w:rsidRPr="00DA29BF" w:rsidRDefault="00CF6811" w:rsidP="00556C8C">
            <w:pPr>
              <w:rPr>
                <w:sz w:val="20"/>
                <w:szCs w:val="16"/>
                <w:highlight w:val="green"/>
              </w:rPr>
            </w:pPr>
            <w:r w:rsidRPr="00DA29BF">
              <w:rPr>
                <w:sz w:val="20"/>
                <w:szCs w:val="16"/>
                <w:highlight w:val="green"/>
              </w:rPr>
              <w:t>COMMRISKMWECE</w:t>
            </w:r>
          </w:p>
        </w:tc>
        <w:tc>
          <w:tcPr>
            <w:tcW w:w="7767" w:type="dxa"/>
            <w:vMerge/>
            <w:shd w:val="clear" w:color="auto" w:fill="F2F2F2" w:themeFill="background1" w:themeFillShade="F2"/>
            <w:vAlign w:val="center"/>
          </w:tcPr>
          <w:p w14:paraId="106F1E96" w14:textId="77777777" w:rsidR="00CF6811" w:rsidRPr="00DA29BF" w:rsidRDefault="00CF6811" w:rsidP="00556C8C">
            <w:pPr>
              <w:rPr>
                <w:sz w:val="20"/>
                <w:szCs w:val="16"/>
              </w:rPr>
            </w:pPr>
          </w:p>
        </w:tc>
      </w:tr>
    </w:tbl>
    <w:p w14:paraId="028A5D14" w14:textId="77777777" w:rsidR="00CF6811" w:rsidRDefault="00CF6811" w:rsidP="00CF6811"/>
    <w:p w14:paraId="112185C9" w14:textId="51EE569D" w:rsidR="00CF6811" w:rsidRDefault="00B406E1" w:rsidP="00B406E1">
      <w:pPr>
        <w:spacing w:before="0" w:after="0" w:line="259" w:lineRule="auto"/>
        <w:contextualSpacing w:val="0"/>
      </w:pPr>
      <w:r>
        <w:t>Addition to existing output section:</w:t>
      </w:r>
      <w:r w:rsidR="00F40933">
        <w:t xml:space="preserve"> </w:t>
      </w:r>
      <w:r w:rsidR="00CF6811">
        <w:t>PNODE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7767"/>
      </w:tblGrid>
      <w:tr w:rsidR="00CF6811" w:rsidRPr="00DA29BF" w14:paraId="777F89C7" w14:textId="77777777" w:rsidTr="003E3097">
        <w:tc>
          <w:tcPr>
            <w:tcW w:w="2689" w:type="dxa"/>
            <w:shd w:val="clear" w:color="auto" w:fill="F2F2F2" w:themeFill="background1" w:themeFillShade="F2"/>
          </w:tcPr>
          <w:p w14:paraId="4E16285E" w14:textId="77777777" w:rsidR="00CF6811" w:rsidRPr="00DA29BF" w:rsidRDefault="00CF6811" w:rsidP="00556C8C">
            <w:pPr>
              <w:rPr>
                <w:sz w:val="20"/>
                <w:szCs w:val="16"/>
              </w:rPr>
            </w:pPr>
            <w:r w:rsidRPr="00DA29BF">
              <w:rPr>
                <w:sz w:val="20"/>
                <w:szCs w:val="16"/>
              </w:rPr>
              <w:t>Field</w:t>
            </w:r>
          </w:p>
        </w:tc>
        <w:tc>
          <w:tcPr>
            <w:tcW w:w="7767" w:type="dxa"/>
            <w:shd w:val="clear" w:color="auto" w:fill="F2F2F2" w:themeFill="background1" w:themeFillShade="F2"/>
          </w:tcPr>
          <w:p w14:paraId="43177F68" w14:textId="77777777" w:rsidR="00CF6811" w:rsidRPr="00DA29BF" w:rsidRDefault="00CF6811" w:rsidP="00556C8C">
            <w:pPr>
              <w:rPr>
                <w:sz w:val="20"/>
                <w:szCs w:val="16"/>
              </w:rPr>
            </w:pPr>
            <w:r w:rsidRPr="00DA29BF">
              <w:rPr>
                <w:sz w:val="20"/>
                <w:szCs w:val="16"/>
              </w:rPr>
              <w:t>Description</w:t>
            </w:r>
          </w:p>
        </w:tc>
      </w:tr>
      <w:tr w:rsidR="00CF6811" w:rsidRPr="00DA29BF" w14:paraId="1E1758DB" w14:textId="77777777" w:rsidTr="003E3097">
        <w:tc>
          <w:tcPr>
            <w:tcW w:w="2689" w:type="dxa"/>
          </w:tcPr>
          <w:p w14:paraId="72D57EB1" w14:textId="77777777" w:rsidR="00CF6811" w:rsidRPr="00DA29BF" w:rsidRDefault="00CF6811" w:rsidP="00556C8C">
            <w:pPr>
              <w:rPr>
                <w:sz w:val="20"/>
                <w:szCs w:val="16"/>
              </w:rPr>
            </w:pPr>
            <w:r w:rsidRPr="00DA29BF">
              <w:rPr>
                <w:sz w:val="20"/>
                <w:szCs w:val="16"/>
              </w:rPr>
              <w:t>INTERVAL</w:t>
            </w:r>
          </w:p>
        </w:tc>
        <w:tc>
          <w:tcPr>
            <w:tcW w:w="7767" w:type="dxa"/>
            <w:vMerge w:val="restart"/>
            <w:vAlign w:val="center"/>
          </w:tcPr>
          <w:p w14:paraId="036A3F9F" w14:textId="77777777" w:rsidR="00CF6811" w:rsidRPr="00DA29BF" w:rsidRDefault="00CF6811" w:rsidP="00556C8C">
            <w:pPr>
              <w:rPr>
                <w:sz w:val="20"/>
                <w:szCs w:val="16"/>
              </w:rPr>
            </w:pPr>
            <w:r w:rsidRPr="00DA29BF">
              <w:rPr>
                <w:sz w:val="20"/>
                <w:szCs w:val="16"/>
              </w:rPr>
              <w:t>Existing</w:t>
            </w:r>
          </w:p>
        </w:tc>
      </w:tr>
      <w:tr w:rsidR="00CF6811" w:rsidRPr="00DA29BF" w14:paraId="26C047C1" w14:textId="77777777" w:rsidTr="003E3097">
        <w:tc>
          <w:tcPr>
            <w:tcW w:w="2689" w:type="dxa"/>
          </w:tcPr>
          <w:p w14:paraId="00B895D7" w14:textId="77777777" w:rsidR="00CF6811" w:rsidRPr="00DA29BF" w:rsidRDefault="00CF6811" w:rsidP="00556C8C">
            <w:pPr>
              <w:rPr>
                <w:sz w:val="20"/>
                <w:szCs w:val="16"/>
                <w:highlight w:val="cyan"/>
              </w:rPr>
            </w:pPr>
            <w:r w:rsidRPr="00DA29BF">
              <w:rPr>
                <w:sz w:val="20"/>
                <w:szCs w:val="16"/>
              </w:rPr>
              <w:t>PNODENAME</w:t>
            </w:r>
          </w:p>
        </w:tc>
        <w:tc>
          <w:tcPr>
            <w:tcW w:w="7767" w:type="dxa"/>
            <w:vMerge/>
            <w:vAlign w:val="center"/>
          </w:tcPr>
          <w:p w14:paraId="44590922" w14:textId="77777777" w:rsidR="00CF6811" w:rsidRPr="00DA29BF" w:rsidRDefault="00CF6811" w:rsidP="00556C8C">
            <w:pPr>
              <w:rPr>
                <w:sz w:val="20"/>
                <w:szCs w:val="16"/>
              </w:rPr>
            </w:pPr>
          </w:p>
        </w:tc>
      </w:tr>
      <w:tr w:rsidR="00CF6811" w:rsidRPr="00DA29BF" w14:paraId="4D661DA4" w14:textId="77777777" w:rsidTr="003E3097">
        <w:tc>
          <w:tcPr>
            <w:tcW w:w="2689" w:type="dxa"/>
          </w:tcPr>
          <w:p w14:paraId="398D735B" w14:textId="77777777" w:rsidR="00CF6811" w:rsidRPr="00DA29BF" w:rsidRDefault="00CF6811" w:rsidP="00556C8C">
            <w:pPr>
              <w:rPr>
                <w:sz w:val="20"/>
                <w:szCs w:val="16"/>
                <w:highlight w:val="cyan"/>
              </w:rPr>
            </w:pPr>
            <w:r w:rsidRPr="00DA29BF">
              <w:rPr>
                <w:sz w:val="20"/>
                <w:szCs w:val="16"/>
              </w:rPr>
              <w:t>...</w:t>
            </w:r>
          </w:p>
        </w:tc>
        <w:tc>
          <w:tcPr>
            <w:tcW w:w="7767" w:type="dxa"/>
            <w:vMerge/>
            <w:vAlign w:val="center"/>
          </w:tcPr>
          <w:p w14:paraId="028F4566" w14:textId="77777777" w:rsidR="00CF6811" w:rsidRPr="00DA29BF" w:rsidRDefault="00CF6811" w:rsidP="00556C8C">
            <w:pPr>
              <w:rPr>
                <w:sz w:val="20"/>
                <w:szCs w:val="16"/>
              </w:rPr>
            </w:pPr>
          </w:p>
        </w:tc>
      </w:tr>
      <w:tr w:rsidR="00CF6811" w:rsidRPr="00DA29BF" w14:paraId="635F9325" w14:textId="77777777" w:rsidTr="003E3097">
        <w:tc>
          <w:tcPr>
            <w:tcW w:w="2689" w:type="dxa"/>
          </w:tcPr>
          <w:p w14:paraId="618BF046" w14:textId="77777777" w:rsidR="00CF6811" w:rsidRPr="00DA29BF" w:rsidRDefault="00CF6811" w:rsidP="00556C8C">
            <w:pPr>
              <w:rPr>
                <w:sz w:val="20"/>
                <w:szCs w:val="16"/>
                <w:highlight w:val="cyan"/>
              </w:rPr>
            </w:pPr>
            <w:r w:rsidRPr="00DA29BF">
              <w:rPr>
                <w:sz w:val="20"/>
                <w:szCs w:val="16"/>
              </w:rPr>
              <w:t>CAPACITYGENRESIDUAL</w:t>
            </w:r>
          </w:p>
        </w:tc>
        <w:tc>
          <w:tcPr>
            <w:tcW w:w="7767" w:type="dxa"/>
            <w:vMerge/>
            <w:vAlign w:val="center"/>
          </w:tcPr>
          <w:p w14:paraId="508D9A26" w14:textId="77777777" w:rsidR="00CF6811" w:rsidRPr="00DA29BF" w:rsidRDefault="00CF6811" w:rsidP="00556C8C">
            <w:pPr>
              <w:rPr>
                <w:sz w:val="20"/>
                <w:szCs w:val="16"/>
              </w:rPr>
            </w:pPr>
          </w:p>
        </w:tc>
      </w:tr>
      <w:tr w:rsidR="00CF6811" w:rsidRPr="00DA29BF" w14:paraId="5EC08204" w14:textId="77777777" w:rsidTr="003E3097">
        <w:tc>
          <w:tcPr>
            <w:tcW w:w="2689" w:type="dxa"/>
          </w:tcPr>
          <w:p w14:paraId="649CEF7F" w14:textId="77777777" w:rsidR="00CF6811" w:rsidRPr="00DA29BF" w:rsidRDefault="00CF6811" w:rsidP="00556C8C">
            <w:pPr>
              <w:rPr>
                <w:sz w:val="20"/>
                <w:szCs w:val="16"/>
                <w:highlight w:val="green"/>
              </w:rPr>
            </w:pPr>
            <w:r w:rsidRPr="00DA29BF">
              <w:rPr>
                <w:sz w:val="20"/>
                <w:szCs w:val="16"/>
                <w:highlight w:val="green"/>
              </w:rPr>
              <w:t>COMMRISKMWCE</w:t>
            </w:r>
          </w:p>
        </w:tc>
        <w:tc>
          <w:tcPr>
            <w:tcW w:w="7767" w:type="dxa"/>
            <w:vMerge w:val="restart"/>
            <w:shd w:val="clear" w:color="auto" w:fill="F2F2F2" w:themeFill="background1" w:themeFillShade="F2"/>
            <w:vAlign w:val="center"/>
          </w:tcPr>
          <w:p w14:paraId="739CBB0B" w14:textId="77777777" w:rsidR="00CF6811" w:rsidRPr="00DA29BF" w:rsidRDefault="00CF6811" w:rsidP="00556C8C">
            <w:pPr>
              <w:rPr>
                <w:sz w:val="20"/>
                <w:szCs w:val="16"/>
              </w:rPr>
            </w:pPr>
            <w:r w:rsidRPr="00DA29BF">
              <w:rPr>
                <w:sz w:val="20"/>
                <w:szCs w:val="16"/>
              </w:rPr>
              <w:t>RMT data that was read in as described in the SPD Inputs above</w:t>
            </w:r>
          </w:p>
        </w:tc>
      </w:tr>
      <w:tr w:rsidR="00CF6811" w:rsidRPr="00DA29BF" w14:paraId="237F3395" w14:textId="77777777" w:rsidTr="003E3097">
        <w:tc>
          <w:tcPr>
            <w:tcW w:w="2689" w:type="dxa"/>
          </w:tcPr>
          <w:p w14:paraId="1A48B862" w14:textId="77777777" w:rsidR="00CF6811" w:rsidRPr="00DA29BF" w:rsidRDefault="00CF6811" w:rsidP="00556C8C">
            <w:pPr>
              <w:rPr>
                <w:sz w:val="20"/>
                <w:szCs w:val="16"/>
                <w:highlight w:val="green"/>
              </w:rPr>
            </w:pPr>
            <w:r w:rsidRPr="00DA29BF">
              <w:rPr>
                <w:sz w:val="20"/>
                <w:szCs w:val="16"/>
                <w:highlight w:val="green"/>
              </w:rPr>
              <w:t>COMMRISKMWECE</w:t>
            </w:r>
          </w:p>
        </w:tc>
        <w:tc>
          <w:tcPr>
            <w:tcW w:w="7767" w:type="dxa"/>
            <w:vMerge/>
            <w:shd w:val="clear" w:color="auto" w:fill="F2F2F2" w:themeFill="background1" w:themeFillShade="F2"/>
          </w:tcPr>
          <w:p w14:paraId="72D654C6" w14:textId="77777777" w:rsidR="00CF6811" w:rsidRPr="00DA29BF" w:rsidRDefault="00CF6811" w:rsidP="00556C8C">
            <w:pPr>
              <w:rPr>
                <w:sz w:val="20"/>
                <w:szCs w:val="16"/>
              </w:rPr>
            </w:pPr>
          </w:p>
        </w:tc>
      </w:tr>
      <w:tr w:rsidR="00CF6811" w:rsidRPr="00DA29BF" w14:paraId="2F468F7C" w14:textId="77777777" w:rsidTr="003E3097">
        <w:tc>
          <w:tcPr>
            <w:tcW w:w="2689" w:type="dxa"/>
          </w:tcPr>
          <w:p w14:paraId="61EA9426" w14:textId="77777777" w:rsidR="00CF6811" w:rsidRPr="00DA29BF" w:rsidRDefault="00CF6811" w:rsidP="00556C8C">
            <w:pPr>
              <w:rPr>
                <w:sz w:val="20"/>
                <w:szCs w:val="16"/>
                <w:highlight w:val="green"/>
              </w:rPr>
            </w:pPr>
            <w:r w:rsidRPr="00DA29BF">
              <w:rPr>
                <w:sz w:val="20"/>
                <w:szCs w:val="16"/>
                <w:highlight w:val="green"/>
              </w:rPr>
              <w:t>ISPARTCOMM</w:t>
            </w:r>
          </w:p>
        </w:tc>
        <w:tc>
          <w:tcPr>
            <w:tcW w:w="7767" w:type="dxa"/>
            <w:vMerge/>
            <w:shd w:val="clear" w:color="auto" w:fill="F2F2F2" w:themeFill="background1" w:themeFillShade="F2"/>
          </w:tcPr>
          <w:p w14:paraId="7F425868" w14:textId="77777777" w:rsidR="00CF6811" w:rsidRPr="00DA29BF" w:rsidRDefault="00CF6811" w:rsidP="00556C8C">
            <w:pPr>
              <w:rPr>
                <w:sz w:val="20"/>
                <w:szCs w:val="16"/>
              </w:rPr>
            </w:pPr>
          </w:p>
        </w:tc>
      </w:tr>
      <w:tr w:rsidR="00CF6811" w:rsidRPr="00DA29BF" w14:paraId="686B8F77" w14:textId="77777777" w:rsidTr="003E3097">
        <w:tc>
          <w:tcPr>
            <w:tcW w:w="2689" w:type="dxa"/>
          </w:tcPr>
          <w:p w14:paraId="40FB4BB5" w14:textId="77777777" w:rsidR="00CF6811" w:rsidRPr="00DA29BF" w:rsidRDefault="00CF6811" w:rsidP="00556C8C">
            <w:pPr>
              <w:rPr>
                <w:sz w:val="20"/>
                <w:szCs w:val="16"/>
                <w:highlight w:val="green"/>
              </w:rPr>
            </w:pPr>
            <w:r w:rsidRPr="00DA29BF">
              <w:rPr>
                <w:sz w:val="20"/>
                <w:szCs w:val="16"/>
                <w:highlight w:val="green"/>
              </w:rPr>
              <w:t>ISCOMMISSIONING</w:t>
            </w:r>
          </w:p>
        </w:tc>
        <w:tc>
          <w:tcPr>
            <w:tcW w:w="7767" w:type="dxa"/>
            <w:vMerge/>
            <w:shd w:val="clear" w:color="auto" w:fill="F2F2F2" w:themeFill="background1" w:themeFillShade="F2"/>
          </w:tcPr>
          <w:p w14:paraId="0394396C" w14:textId="77777777" w:rsidR="00CF6811" w:rsidRPr="00DA29BF" w:rsidRDefault="00CF6811" w:rsidP="00556C8C">
            <w:pPr>
              <w:rPr>
                <w:sz w:val="20"/>
                <w:szCs w:val="16"/>
              </w:rPr>
            </w:pPr>
          </w:p>
        </w:tc>
      </w:tr>
      <w:tr w:rsidR="00CF6811" w:rsidRPr="00DA29BF" w14:paraId="1704EBDB" w14:textId="77777777" w:rsidTr="003E3097">
        <w:tc>
          <w:tcPr>
            <w:tcW w:w="2689" w:type="dxa"/>
          </w:tcPr>
          <w:p w14:paraId="016BC105" w14:textId="77777777" w:rsidR="00CF6811" w:rsidRPr="00DA29BF" w:rsidRDefault="00CF6811" w:rsidP="00556C8C">
            <w:pPr>
              <w:rPr>
                <w:sz w:val="20"/>
                <w:szCs w:val="16"/>
                <w:highlight w:val="green"/>
              </w:rPr>
            </w:pPr>
            <w:r w:rsidRPr="00DA29BF">
              <w:rPr>
                <w:sz w:val="20"/>
                <w:szCs w:val="16"/>
                <w:highlight w:val="green"/>
              </w:rPr>
              <w:t>CEFULLYCOMMISSIONED</w:t>
            </w:r>
          </w:p>
        </w:tc>
        <w:tc>
          <w:tcPr>
            <w:tcW w:w="7767" w:type="dxa"/>
            <w:vMerge/>
            <w:shd w:val="clear" w:color="auto" w:fill="F2F2F2" w:themeFill="background1" w:themeFillShade="F2"/>
          </w:tcPr>
          <w:p w14:paraId="1DD888CD" w14:textId="77777777" w:rsidR="00CF6811" w:rsidRPr="00DA29BF" w:rsidRDefault="00CF6811" w:rsidP="00556C8C">
            <w:pPr>
              <w:rPr>
                <w:sz w:val="20"/>
                <w:szCs w:val="16"/>
              </w:rPr>
            </w:pPr>
          </w:p>
        </w:tc>
      </w:tr>
      <w:tr w:rsidR="00CF6811" w:rsidRPr="00DA29BF" w14:paraId="5F74A63E" w14:textId="77777777" w:rsidTr="003E3097">
        <w:tc>
          <w:tcPr>
            <w:tcW w:w="2689" w:type="dxa"/>
          </w:tcPr>
          <w:p w14:paraId="32D8E532" w14:textId="77777777" w:rsidR="00CF6811" w:rsidRPr="00DA29BF" w:rsidRDefault="00CF6811" w:rsidP="00556C8C">
            <w:pPr>
              <w:rPr>
                <w:sz w:val="20"/>
                <w:szCs w:val="16"/>
                <w:highlight w:val="green"/>
              </w:rPr>
            </w:pPr>
            <w:r w:rsidRPr="00DA29BF">
              <w:rPr>
                <w:sz w:val="20"/>
                <w:szCs w:val="16"/>
                <w:highlight w:val="green"/>
              </w:rPr>
              <w:t>CECOMMLEVEL</w:t>
            </w:r>
          </w:p>
        </w:tc>
        <w:tc>
          <w:tcPr>
            <w:tcW w:w="7767" w:type="dxa"/>
            <w:vMerge/>
            <w:shd w:val="clear" w:color="auto" w:fill="F2F2F2" w:themeFill="background1" w:themeFillShade="F2"/>
          </w:tcPr>
          <w:p w14:paraId="45DD8CF0" w14:textId="77777777" w:rsidR="00CF6811" w:rsidRPr="00DA29BF" w:rsidRDefault="00CF6811" w:rsidP="00556C8C">
            <w:pPr>
              <w:rPr>
                <w:sz w:val="20"/>
                <w:szCs w:val="16"/>
              </w:rPr>
            </w:pPr>
          </w:p>
        </w:tc>
      </w:tr>
      <w:tr w:rsidR="00CF6811" w:rsidRPr="00DA29BF" w14:paraId="180FEF56" w14:textId="77777777" w:rsidTr="003E3097">
        <w:tc>
          <w:tcPr>
            <w:tcW w:w="2689" w:type="dxa"/>
          </w:tcPr>
          <w:p w14:paraId="191A92F5" w14:textId="77777777" w:rsidR="00CF6811" w:rsidRPr="00DA29BF" w:rsidRDefault="00CF6811" w:rsidP="00556C8C">
            <w:pPr>
              <w:rPr>
                <w:sz w:val="20"/>
                <w:szCs w:val="16"/>
                <w:highlight w:val="green"/>
              </w:rPr>
            </w:pPr>
            <w:r w:rsidRPr="00DA29BF">
              <w:rPr>
                <w:sz w:val="20"/>
                <w:szCs w:val="16"/>
                <w:highlight w:val="green"/>
              </w:rPr>
              <w:t>MAXCOMMMW</w:t>
            </w:r>
          </w:p>
        </w:tc>
        <w:tc>
          <w:tcPr>
            <w:tcW w:w="7767" w:type="dxa"/>
            <w:vMerge/>
            <w:shd w:val="clear" w:color="auto" w:fill="F2F2F2" w:themeFill="background1" w:themeFillShade="F2"/>
          </w:tcPr>
          <w:p w14:paraId="2B849334" w14:textId="77777777" w:rsidR="00CF6811" w:rsidRPr="00DA29BF" w:rsidRDefault="00CF6811" w:rsidP="00556C8C">
            <w:pPr>
              <w:rPr>
                <w:sz w:val="20"/>
                <w:szCs w:val="16"/>
              </w:rPr>
            </w:pPr>
          </w:p>
        </w:tc>
      </w:tr>
    </w:tbl>
    <w:p w14:paraId="77888B63" w14:textId="7199E21B" w:rsidR="00BC28D9" w:rsidRDefault="00210B54" w:rsidP="007A3D2D">
      <w:pPr>
        <w:pStyle w:val="Heading1"/>
      </w:pPr>
      <w:bookmarkStart w:id="5" w:name="_Hlk188974754"/>
      <w:r>
        <w:t>R</w:t>
      </w:r>
      <w:r w:rsidR="00BC28D9">
        <w:t xml:space="preserve">isk </w:t>
      </w:r>
      <w:r>
        <w:t>A</w:t>
      </w:r>
      <w:r w:rsidR="00BC28D9">
        <w:t>djustment</w:t>
      </w:r>
      <w:r w:rsidR="007F2994">
        <w:t xml:space="preserve"> for </w:t>
      </w:r>
      <w:r w:rsidR="009B1209">
        <w:t>Secondary Risk</w:t>
      </w:r>
    </w:p>
    <w:bookmarkEnd w:id="5"/>
    <w:p w14:paraId="37D420A4" w14:textId="2567239C" w:rsidR="00B2095D" w:rsidRPr="00B2095D" w:rsidRDefault="00B2095D" w:rsidP="007A3D2D">
      <w:pPr>
        <w:pStyle w:val="Heading2"/>
      </w:pPr>
      <w:r>
        <w:t>Overview</w:t>
      </w:r>
    </w:p>
    <w:p w14:paraId="03465DBC" w14:textId="053D22B8" w:rsidR="00001F44" w:rsidRDefault="00001F44" w:rsidP="00BC28D9">
      <w:pPr>
        <w:contextualSpacing w:val="0"/>
      </w:pPr>
      <w:r>
        <w:t>SPD schedules reserve to cover the primary risk</w:t>
      </w:r>
      <w:r w:rsidR="00A25473">
        <w:t xml:space="preserve"> </w:t>
      </w:r>
      <w:r>
        <w:t xml:space="preserve">less the Net Free Reserve (NFR). </w:t>
      </w:r>
    </w:p>
    <w:p w14:paraId="11397561" w14:textId="1569AB90" w:rsidR="00295ADE" w:rsidRDefault="00BC28D9" w:rsidP="00BC28D9">
      <w:pPr>
        <w:contextualSpacing w:val="0"/>
      </w:pPr>
      <w:r>
        <w:t xml:space="preserve">RMT calculates the NFR </w:t>
      </w:r>
      <w:r w:rsidR="00001F44">
        <w:t>as the primary risk less the reserve required to maintain frequency</w:t>
      </w:r>
      <w:r w:rsidR="001F63B6">
        <w:t xml:space="preserve"> after an event</w:t>
      </w:r>
      <w:r w:rsidR="00295ADE">
        <w:t>.</w:t>
      </w:r>
    </w:p>
    <w:p w14:paraId="664FF26D" w14:textId="77777777" w:rsidR="001F63B6" w:rsidRDefault="00295ADE" w:rsidP="00BC28D9">
      <w:pPr>
        <w:contextualSpacing w:val="0"/>
      </w:pPr>
      <w:r>
        <w:lastRenderedPageBreak/>
        <w:t>Hence the NFR allow</w:t>
      </w:r>
      <w:r w:rsidR="001F63B6">
        <w:t>s</w:t>
      </w:r>
      <w:r>
        <w:t xml:space="preserve"> SPD to </w:t>
      </w:r>
      <w:r w:rsidR="001F63B6">
        <w:t xml:space="preserve">schedule the reserve necessary to maintain frequency after the tripping of the </w:t>
      </w:r>
      <w:r>
        <w:t>primary risk</w:t>
      </w:r>
      <w:r w:rsidR="001F63B6">
        <w:t>.</w:t>
      </w:r>
    </w:p>
    <w:p w14:paraId="2FE8CBF3" w14:textId="005D19F7" w:rsidR="00BC28D9" w:rsidRDefault="001F63B6" w:rsidP="0078124E">
      <w:pPr>
        <w:contextualSpacing w:val="0"/>
      </w:pPr>
      <w:r>
        <w:t xml:space="preserve">However, the RMT event includes the tripping of the primary risk </w:t>
      </w:r>
      <w:r w:rsidRPr="00786428">
        <w:rPr>
          <w:i/>
          <w:iCs/>
        </w:rPr>
        <w:t>and</w:t>
      </w:r>
      <w:r>
        <w:t xml:space="preserve"> any secondary risks, hence cover for the secondary risk is implicit in the NFR (reduces the NFR). If the secondary risk is part of a primary risk, e.g., </w:t>
      </w:r>
      <w:r w:rsidR="00786428">
        <w:t xml:space="preserve">if the </w:t>
      </w:r>
      <w:r w:rsidR="009B1209">
        <w:t xml:space="preserve">secondary </w:t>
      </w:r>
      <w:r w:rsidR="00786428">
        <w:t xml:space="preserve">risk is </w:t>
      </w:r>
      <w:r>
        <w:t xml:space="preserve">a </w:t>
      </w:r>
      <w:r w:rsidR="000E14F0">
        <w:t xml:space="preserve">commissioning </w:t>
      </w:r>
      <w:r>
        <w:t>windfarm in a risk group</w:t>
      </w:r>
      <w:r w:rsidR="00786428">
        <w:t>, or a primary risk unit that is commissioning</w:t>
      </w:r>
      <w:r>
        <w:t>, then th</w:t>
      </w:r>
      <w:r w:rsidR="009B1209">
        <w:t>e</w:t>
      </w:r>
      <w:r>
        <w:t xml:space="preserve"> secondary risk component of the primary risk is already covered by the NFR and therefore needs to be removed from the </w:t>
      </w:r>
      <w:r w:rsidR="009B1209">
        <w:t xml:space="preserve">reserve cover that </w:t>
      </w:r>
      <w:r>
        <w:t xml:space="preserve">SPD </w:t>
      </w:r>
      <w:r w:rsidR="009B1209">
        <w:t>requires</w:t>
      </w:r>
      <w:r>
        <w:t xml:space="preserve"> for that primary risk.</w:t>
      </w:r>
      <w:r w:rsidR="00A25473">
        <w:t xml:space="preserve"> This avoids any double-cover that would occur </w:t>
      </w:r>
      <w:r w:rsidR="00A25473" w:rsidRPr="00A25473">
        <w:rPr>
          <w:u w:val="single"/>
        </w:rPr>
        <w:t>if</w:t>
      </w:r>
      <w:r w:rsidR="00A25473">
        <w:t xml:space="preserve"> the primary risk with the commissioning component happened to be the risk setter.</w:t>
      </w:r>
    </w:p>
    <w:p w14:paraId="4C3E06E8" w14:textId="0F99F440" w:rsidR="00B2095D" w:rsidRDefault="002F0696" w:rsidP="007A3D2D">
      <w:pPr>
        <w:pStyle w:val="Heading2"/>
      </w:pPr>
      <w:r>
        <w:t>SPD Option</w:t>
      </w:r>
    </w:p>
    <w:tbl>
      <w:tblPr>
        <w:tblStyle w:val="TableGrid"/>
        <w:tblW w:w="10485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689"/>
        <w:gridCol w:w="7796"/>
      </w:tblGrid>
      <w:tr w:rsidR="00A478D7" w:rsidRPr="00A478D7" w14:paraId="12BD2AC2" w14:textId="77777777" w:rsidTr="003F7A46">
        <w:tc>
          <w:tcPr>
            <w:tcW w:w="2689" w:type="dxa"/>
          </w:tcPr>
          <w:p w14:paraId="793BF5F2" w14:textId="77777777" w:rsidR="00A478D7" w:rsidRPr="00A478D7" w:rsidRDefault="00A478D7" w:rsidP="00695DDD">
            <w:pPr>
              <w:pStyle w:val="TableTimes"/>
              <w:rPr>
                <w:highlight w:val="yellow"/>
              </w:rPr>
            </w:pPr>
            <w:r w:rsidRPr="00E22839">
              <w:t>CommRiskDoRiskAdjustment</w:t>
            </w:r>
          </w:p>
        </w:tc>
        <w:tc>
          <w:tcPr>
            <w:tcW w:w="7796" w:type="dxa"/>
          </w:tcPr>
          <w:p w14:paraId="6CCD1575" w14:textId="6B838987" w:rsidR="00A478D7" w:rsidRPr="00A478D7" w:rsidRDefault="00A478D7" w:rsidP="00695DDD">
            <w:pPr>
              <w:pStyle w:val="TableTimes"/>
            </w:pPr>
            <w:r w:rsidRPr="00A478D7">
              <w:t xml:space="preserve">SPD Option. If </w:t>
            </w:r>
            <w:r>
              <w:t>set to 1</w:t>
            </w:r>
            <w:r w:rsidRPr="00A478D7">
              <w:t xml:space="preserve"> then </w:t>
            </w:r>
            <w:r w:rsidR="003F7A46">
              <w:t xml:space="preserve">the </w:t>
            </w:r>
            <w:r w:rsidR="00904F60">
              <w:t>risk</w:t>
            </w:r>
            <w:r w:rsidR="003F7A46">
              <w:t xml:space="preserve"> is adjusted to </w:t>
            </w:r>
            <w:r w:rsidRPr="00A478D7">
              <w:t xml:space="preserve">account for </w:t>
            </w:r>
            <w:r w:rsidR="00904F60">
              <w:t xml:space="preserve">the </w:t>
            </w:r>
            <w:r w:rsidR="00F92B32">
              <w:t>secondary</w:t>
            </w:r>
            <w:r w:rsidRPr="00A478D7">
              <w:t xml:space="preserve"> risk</w:t>
            </w:r>
            <w:r w:rsidR="00904F60">
              <w:t xml:space="preserve"> in the NFR</w:t>
            </w:r>
            <w:r w:rsidRPr="00A478D7">
              <w:t xml:space="preserve">. If </w:t>
            </w:r>
            <w:r w:rsidR="004C7539">
              <w:t>set to 0</w:t>
            </w:r>
            <w:r w:rsidRPr="00A478D7">
              <w:t xml:space="preserve"> then </w:t>
            </w:r>
            <w:r w:rsidR="003F7A46">
              <w:t>no risk</w:t>
            </w:r>
            <w:r w:rsidRPr="00A478D7">
              <w:t xml:space="preserve"> adjustment</w:t>
            </w:r>
            <w:r w:rsidR="00F92B32">
              <w:t xml:space="preserve"> occurs</w:t>
            </w:r>
            <w:r w:rsidR="003F7A46">
              <w:t>.</w:t>
            </w:r>
            <w:r w:rsidR="0078124E">
              <w:t xml:space="preserve"> The SPD default is 1.</w:t>
            </w:r>
          </w:p>
        </w:tc>
      </w:tr>
    </w:tbl>
    <w:p w14:paraId="61D3A794" w14:textId="700CE932" w:rsidR="00485502" w:rsidRDefault="00485502" w:rsidP="007A3D2D">
      <w:pPr>
        <w:pStyle w:val="Heading2"/>
      </w:pPr>
      <w:r>
        <w:t>Reporting</w:t>
      </w:r>
    </w:p>
    <w:p w14:paraId="358F9FC9" w14:textId="54A912B5" w:rsidR="00485502" w:rsidRDefault="00485502" w:rsidP="00485502">
      <w:pPr>
        <w:contextualSpacing w:val="0"/>
        <w:rPr>
          <w:lang w:eastAsia="en-GB"/>
        </w:rPr>
      </w:pPr>
      <w:r>
        <w:rPr>
          <w:lang w:eastAsia="en-GB"/>
        </w:rPr>
        <w:t>If the risk setter was adjusted to remove its commissioning risk then this is indicated by including the commissioning amount in the reported risk name</w:t>
      </w:r>
      <w:r w:rsidR="008C612A">
        <w:rPr>
          <w:lang w:eastAsia="en-GB"/>
        </w:rPr>
        <w:t>, e.g.,</w:t>
      </w:r>
    </w:p>
    <w:p w14:paraId="41196018" w14:textId="5A5CF247" w:rsidR="00485502" w:rsidRDefault="00C33344" w:rsidP="00485502">
      <w:pPr>
        <w:contextualSpacing w:val="0"/>
        <w:rPr>
          <w:lang w:eastAsia="en-GB"/>
        </w:rPr>
      </w:pPr>
      <w:r>
        <w:rPr>
          <w:lang w:eastAsia="en-GB"/>
        </w:rPr>
        <w:t>Because the</w:t>
      </w:r>
      <w:r w:rsidR="00485502">
        <w:rPr>
          <w:lang w:eastAsia="en-GB"/>
        </w:rPr>
        <w:t xml:space="preserve"> commissioning risk </w:t>
      </w:r>
      <w:r>
        <w:rPr>
          <w:lang w:eastAsia="en-GB"/>
        </w:rPr>
        <w:t>i</w:t>
      </w:r>
      <w:r w:rsidR="003F7A46">
        <w:rPr>
          <w:lang w:eastAsia="en-GB"/>
        </w:rPr>
        <w:t xml:space="preserve">s </w:t>
      </w:r>
      <w:r>
        <w:rPr>
          <w:lang w:eastAsia="en-GB"/>
        </w:rPr>
        <w:t>part of</w:t>
      </w:r>
      <w:r w:rsidR="00485502">
        <w:rPr>
          <w:lang w:eastAsia="en-GB"/>
        </w:rPr>
        <w:t xml:space="preserve"> the NFR</w:t>
      </w:r>
      <w:r>
        <w:rPr>
          <w:lang w:eastAsia="en-GB"/>
        </w:rPr>
        <w:t xml:space="preserve"> it is </w:t>
      </w:r>
      <w:r w:rsidR="008C612A">
        <w:rPr>
          <w:lang w:eastAsia="en-GB"/>
        </w:rPr>
        <w:t xml:space="preserve">effectively </w:t>
      </w:r>
      <w:r w:rsidR="00F92B32">
        <w:rPr>
          <w:lang w:eastAsia="en-GB"/>
        </w:rPr>
        <w:t>part of the</w:t>
      </w:r>
      <w:r w:rsidR="008C612A">
        <w:rPr>
          <w:lang w:eastAsia="en-GB"/>
        </w:rPr>
        <w:t xml:space="preserve"> </w:t>
      </w:r>
      <w:r>
        <w:rPr>
          <w:lang w:eastAsia="en-GB"/>
        </w:rPr>
        <w:t xml:space="preserve">risk </w:t>
      </w:r>
      <w:r w:rsidR="003F7A46">
        <w:rPr>
          <w:lang w:eastAsia="en-GB"/>
        </w:rPr>
        <w:t xml:space="preserve">and therefore </w:t>
      </w:r>
      <w:r w:rsidR="008C612A">
        <w:rPr>
          <w:lang w:eastAsia="en-GB"/>
        </w:rPr>
        <w:t xml:space="preserve">is </w:t>
      </w:r>
      <w:r>
        <w:rPr>
          <w:lang w:eastAsia="en-GB"/>
        </w:rPr>
        <w:t>included in the list of</w:t>
      </w:r>
      <w:r w:rsidR="003F7A46">
        <w:rPr>
          <w:lang w:eastAsia="en-GB"/>
        </w:rPr>
        <w:t xml:space="preserve"> </w:t>
      </w:r>
      <w:r w:rsidR="00485502">
        <w:rPr>
          <w:lang w:eastAsia="en-GB"/>
        </w:rPr>
        <w:t>reported risk</w:t>
      </w:r>
      <w:r>
        <w:rPr>
          <w:lang w:eastAsia="en-GB"/>
        </w:rPr>
        <w:t xml:space="preserve"> names, </w:t>
      </w:r>
      <w:r w:rsidR="008C612A">
        <w:rPr>
          <w:lang w:eastAsia="en-GB"/>
        </w:rPr>
        <w:t>e</w:t>
      </w:r>
      <w:r>
        <w:rPr>
          <w:lang w:eastAsia="en-GB"/>
        </w:rPr>
        <w:t>.</w:t>
      </w:r>
      <w:r w:rsidR="008C612A">
        <w:rPr>
          <w:lang w:eastAsia="en-GB"/>
        </w:rPr>
        <w:t>g.,</w:t>
      </w:r>
      <w:r w:rsidR="00C10D6F">
        <w:rPr>
          <w:lang w:eastAsia="en-GB"/>
        </w:rPr>
        <w:t xml:space="preserve"> </w:t>
      </w:r>
      <w:r w:rsidR="00C10D6F" w:rsidRPr="00695DDD">
        <w:t>TUR0CE;SRCE[HLY5]</w:t>
      </w:r>
    </w:p>
    <w:p w14:paraId="301A67D5" w14:textId="77777777" w:rsidR="00542028" w:rsidRDefault="00542028" w:rsidP="00542028">
      <w:pPr>
        <w:pStyle w:val="Heading2"/>
      </w:pPr>
      <w:r>
        <w:t>Formulation changes</w:t>
      </w:r>
    </w:p>
    <w:p w14:paraId="000E1553" w14:textId="77777777" w:rsidR="00542028" w:rsidRDefault="00542028" w:rsidP="00542028">
      <w:pPr>
        <w:rPr>
          <w:lang w:eastAsia="en-GB"/>
        </w:rPr>
      </w:pPr>
      <w:r>
        <w:rPr>
          <w:lang w:eastAsia="en-GB"/>
        </w:rPr>
        <w:t>Adjust the following risk calculation constraints when the primary risk is also a secondary risk:</w:t>
      </w:r>
    </w:p>
    <w:p w14:paraId="3754B472" w14:textId="77777777" w:rsidR="00542028" w:rsidRDefault="00542028" w:rsidP="00542028">
      <w:pPr>
        <w:pStyle w:val="ListParagraph"/>
        <w:numPr>
          <w:ilvl w:val="0"/>
          <w:numId w:val="41"/>
        </w:numPr>
        <w:rPr>
          <w:lang w:eastAsia="en-GB"/>
        </w:rPr>
      </w:pPr>
      <w:r>
        <w:rPr>
          <w:lang w:eastAsia="en-GB"/>
        </w:rPr>
        <w:t>Unit Risk</w:t>
      </w:r>
    </w:p>
    <w:p w14:paraId="479B4219" w14:textId="77777777" w:rsidR="00542028" w:rsidRDefault="00542028" w:rsidP="00542028">
      <w:pPr>
        <w:pStyle w:val="ListParagraph"/>
        <w:numPr>
          <w:ilvl w:val="0"/>
          <w:numId w:val="41"/>
        </w:numPr>
        <w:rPr>
          <w:lang w:eastAsia="en-GB"/>
        </w:rPr>
      </w:pPr>
      <w:r>
        <w:rPr>
          <w:lang w:eastAsia="en-GB"/>
        </w:rPr>
        <w:t>Risk Group</w:t>
      </w:r>
    </w:p>
    <w:p w14:paraId="2A43818A" w14:textId="77777777" w:rsidR="00542028" w:rsidRDefault="00542028" w:rsidP="00542028">
      <w:pPr>
        <w:pStyle w:val="ListParagraph"/>
        <w:numPr>
          <w:ilvl w:val="0"/>
          <w:numId w:val="41"/>
        </w:numPr>
        <w:rPr>
          <w:lang w:eastAsia="en-GB"/>
        </w:rPr>
      </w:pPr>
      <w:r>
        <w:rPr>
          <w:lang w:eastAsia="en-GB"/>
        </w:rPr>
        <w:t>Link Risk</w:t>
      </w:r>
    </w:p>
    <w:p w14:paraId="7ACD5768" w14:textId="77777777" w:rsidR="00542028" w:rsidRDefault="00542028" w:rsidP="00542028">
      <w:pPr>
        <w:pStyle w:val="ListParagraph"/>
        <w:numPr>
          <w:ilvl w:val="0"/>
          <w:numId w:val="41"/>
        </w:numPr>
        <w:rPr>
          <w:lang w:eastAsia="en-GB"/>
        </w:rPr>
      </w:pPr>
      <w:r>
        <w:rPr>
          <w:lang w:eastAsia="en-GB"/>
        </w:rPr>
        <w:t>DC Secondary Risk (Unit)</w:t>
      </w:r>
    </w:p>
    <w:p w14:paraId="6521D199" w14:textId="7834C2CF" w:rsidR="00542028" w:rsidRDefault="00542028" w:rsidP="00542028">
      <w:pPr>
        <w:pStyle w:val="Heading2"/>
      </w:pPr>
      <w:r>
        <w:t>Example case</w:t>
      </w:r>
    </w:p>
    <w:p w14:paraId="6D9B0B3B" w14:textId="77777777" w:rsidR="00586416" w:rsidRDefault="00695DDD" w:rsidP="00695DDD">
      <w:pPr>
        <w:contextualSpacing w:val="0"/>
        <w:rPr>
          <w:lang w:eastAsia="en-GB"/>
        </w:rPr>
      </w:pPr>
      <w:r>
        <w:rPr>
          <w:lang w:eastAsia="en-GB"/>
        </w:rPr>
        <w:t xml:space="preserve">11:00 HLY5 is not the risk setter because </w:t>
      </w:r>
      <w:r w:rsidR="00586416">
        <w:rPr>
          <w:lang w:eastAsia="en-GB"/>
        </w:rPr>
        <w:t xml:space="preserve">even though 240MW would be the highest risk, HLY5 </w:t>
      </w:r>
      <w:r>
        <w:rPr>
          <w:lang w:eastAsia="en-GB"/>
        </w:rPr>
        <w:t>has 240MW of commissioning risk which is subtracted from its risk calculation.</w:t>
      </w:r>
    </w:p>
    <w:p w14:paraId="1D235272" w14:textId="45A59481" w:rsidR="00695DDD" w:rsidRDefault="00910927" w:rsidP="00695DDD">
      <w:pPr>
        <w:contextualSpacing w:val="0"/>
        <w:rPr>
          <w:lang w:eastAsia="en-GB"/>
        </w:rPr>
      </w:pPr>
      <w:r>
        <w:rPr>
          <w:lang w:eastAsia="en-GB"/>
        </w:rPr>
        <w:t>Because HLY5 secondary risk is implicit in the NFR it is included in the risk setter string to indicate that it contributed to the risk</w:t>
      </w:r>
      <w:r w:rsidR="00562EDA">
        <w:rPr>
          <w:lang w:eastAsia="en-GB"/>
        </w:rPr>
        <w:t>:</w:t>
      </w:r>
    </w:p>
    <w:tbl>
      <w:tblPr>
        <w:tblW w:w="8500" w:type="dxa"/>
        <w:tblLook w:val="04A0" w:firstRow="1" w:lastRow="0" w:firstColumn="1" w:lastColumn="0" w:noHBand="0" w:noVBand="1"/>
      </w:tblPr>
      <w:tblGrid>
        <w:gridCol w:w="4250"/>
        <w:gridCol w:w="4250"/>
      </w:tblGrid>
      <w:tr w:rsidR="00695DDD" w:rsidRPr="00695DDD" w14:paraId="4C87F815" w14:textId="77777777" w:rsidTr="006C3FE1">
        <w:trPr>
          <w:trHeight w:val="290"/>
        </w:trPr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2E800FB" w14:textId="77777777" w:rsidR="00695DDD" w:rsidRPr="00695DDD" w:rsidRDefault="00695DDD" w:rsidP="00695DDD">
            <w:pPr>
              <w:pStyle w:val="TableTimes"/>
            </w:pPr>
            <w:r w:rsidRPr="00695DDD">
              <w:t>RISK6SSTATN</w:t>
            </w:r>
          </w:p>
        </w:tc>
        <w:tc>
          <w:tcPr>
            <w:tcW w:w="4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97A8688" w14:textId="77777777" w:rsidR="00695DDD" w:rsidRPr="00695DDD" w:rsidRDefault="00695DDD" w:rsidP="00695DDD">
            <w:pPr>
              <w:pStyle w:val="TableTimes"/>
            </w:pPr>
            <w:r w:rsidRPr="00695DDD">
              <w:t>RISK60SSTATN</w:t>
            </w:r>
          </w:p>
        </w:tc>
      </w:tr>
      <w:tr w:rsidR="00695DDD" w:rsidRPr="00695DDD" w14:paraId="430109FA" w14:textId="77777777" w:rsidTr="006C3FE1">
        <w:trPr>
          <w:trHeight w:val="290"/>
        </w:trPr>
        <w:tc>
          <w:tcPr>
            <w:tcW w:w="4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50DF4" w14:textId="77777777" w:rsidR="00695DDD" w:rsidRPr="00695DDD" w:rsidRDefault="00695DDD" w:rsidP="00695DDD">
            <w:pPr>
              <w:pStyle w:val="TableTimes"/>
            </w:pPr>
            <w:r w:rsidRPr="00695DDD">
              <w:t>TUR0CE;SRCE[HLY5]</w:t>
            </w:r>
          </w:p>
        </w:tc>
        <w:tc>
          <w:tcPr>
            <w:tcW w:w="4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518B0" w14:textId="77777777" w:rsidR="00695DDD" w:rsidRPr="00695DDD" w:rsidRDefault="00695DDD" w:rsidP="00695DDD">
            <w:pPr>
              <w:pStyle w:val="TableTimes"/>
            </w:pPr>
            <w:r w:rsidRPr="00695DDD">
              <w:t>TUR0CE;SRCE[HLY5]</w:t>
            </w:r>
          </w:p>
        </w:tc>
      </w:tr>
      <w:tr w:rsidR="00695DDD" w:rsidRPr="00695DDD" w14:paraId="26639DFB" w14:textId="77777777" w:rsidTr="006C3FE1">
        <w:trPr>
          <w:trHeight w:val="290"/>
        </w:trPr>
        <w:tc>
          <w:tcPr>
            <w:tcW w:w="4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8A732" w14:textId="77777777" w:rsidR="00695DDD" w:rsidRPr="00695DDD" w:rsidRDefault="00695DDD" w:rsidP="00695DDD">
            <w:pPr>
              <w:pStyle w:val="TableTimes"/>
            </w:pPr>
            <w:r w:rsidRPr="00695DDD">
              <w:t>Manual[SIACCEMinRiskMW]CE;OtherIslandCE</w:t>
            </w:r>
          </w:p>
        </w:tc>
        <w:tc>
          <w:tcPr>
            <w:tcW w:w="4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2E7CF" w14:textId="77777777" w:rsidR="00695DDD" w:rsidRPr="00695DDD" w:rsidRDefault="00695DDD" w:rsidP="00695DDD">
            <w:pPr>
              <w:pStyle w:val="TableTimes"/>
            </w:pPr>
            <w:r w:rsidRPr="00695DDD">
              <w:t>Manual[SIACCEMinRiskMW]CE;OtherIslandCE</w:t>
            </w:r>
          </w:p>
        </w:tc>
      </w:tr>
    </w:tbl>
    <w:p w14:paraId="0E9A40B4" w14:textId="68BB39A3" w:rsidR="006C3FE1" w:rsidRDefault="006C3FE1" w:rsidP="006C3FE1">
      <w:pPr>
        <w:contextualSpacing w:val="0"/>
        <w:rPr>
          <w:lang w:eastAsia="en-GB"/>
        </w:rPr>
      </w:pPr>
      <w:r>
        <w:rPr>
          <w:lang w:eastAsia="en-GB"/>
        </w:rPr>
        <w:t xml:space="preserve">11:30 </w:t>
      </w:r>
      <w:r w:rsidR="00562EDA">
        <w:rPr>
          <w:lang w:eastAsia="en-GB"/>
        </w:rPr>
        <w:t xml:space="preserve">The risk group is the risk setter, the risk MW excludes the commissioning risk of </w:t>
      </w:r>
      <w:r w:rsidR="00BC4F82">
        <w:rPr>
          <w:lang w:eastAsia="en-GB"/>
        </w:rPr>
        <w:t>10MW on NZW0</w:t>
      </w:r>
      <w:r w:rsidR="00562EDA">
        <w:rPr>
          <w:lang w:eastAsia="en-GB"/>
        </w:rPr>
        <w:t xml:space="preserve">, this </w:t>
      </w:r>
      <w:r w:rsidR="00BC4F82">
        <w:rPr>
          <w:lang w:eastAsia="en-GB"/>
        </w:rPr>
        <w:t xml:space="preserve">amount </w:t>
      </w:r>
      <w:r w:rsidR="00562EDA">
        <w:rPr>
          <w:lang w:eastAsia="en-GB"/>
        </w:rPr>
        <w:t xml:space="preserve">is indicated in </w:t>
      </w:r>
      <w:r w:rsidR="00BC4F82">
        <w:rPr>
          <w:lang w:eastAsia="en-GB"/>
        </w:rPr>
        <w:t xml:space="preserve">brackets after </w:t>
      </w:r>
      <w:r w:rsidR="00562EDA">
        <w:rPr>
          <w:lang w:eastAsia="en-GB"/>
        </w:rPr>
        <w:t>the risk setter string</w:t>
      </w:r>
      <w:r w:rsidR="00787216">
        <w:rPr>
          <w:lang w:eastAsia="en-GB"/>
        </w:rPr>
        <w:t xml:space="preserve"> (and also included in the string to indicate its contribution to the risk via the NFR)</w:t>
      </w:r>
      <w:r w:rsidR="00BC4F82">
        <w:rPr>
          <w:lang w:eastAsia="en-GB"/>
        </w:rPr>
        <w:t>:</w:t>
      </w:r>
    </w:p>
    <w:tbl>
      <w:tblPr>
        <w:tblW w:w="5733" w:type="dxa"/>
        <w:tblLook w:val="04A0" w:firstRow="1" w:lastRow="0" w:firstColumn="1" w:lastColumn="0" w:noHBand="0" w:noVBand="1"/>
      </w:tblPr>
      <w:tblGrid>
        <w:gridCol w:w="5733"/>
      </w:tblGrid>
      <w:tr w:rsidR="00BC4F82" w:rsidRPr="00BC4F82" w14:paraId="79B21F60" w14:textId="77777777" w:rsidTr="00BC4F82">
        <w:trPr>
          <w:trHeight w:val="290"/>
        </w:trPr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2B8C706" w14:textId="77777777" w:rsidR="00BC4F82" w:rsidRPr="00BC4F82" w:rsidRDefault="00BC4F82" w:rsidP="00BC4F82">
            <w:pPr>
              <w:pStyle w:val="TableTimes"/>
            </w:pPr>
            <w:r w:rsidRPr="00BC4F82">
              <w:t>RISK6SSTATN</w:t>
            </w:r>
          </w:p>
        </w:tc>
      </w:tr>
      <w:tr w:rsidR="00BC4F82" w:rsidRPr="00BC4F82" w14:paraId="188FFCAF" w14:textId="77777777" w:rsidTr="00BC4F82">
        <w:trPr>
          <w:trHeight w:val="290"/>
        </w:trPr>
        <w:tc>
          <w:tcPr>
            <w:tcW w:w="5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AAA7D" w14:textId="77777777" w:rsidR="00BC4F82" w:rsidRPr="00BC4F82" w:rsidRDefault="00BC4F82" w:rsidP="00BC4F82">
            <w:pPr>
              <w:pStyle w:val="TableTimes"/>
            </w:pPr>
            <w:r w:rsidRPr="00BC4F82">
              <w:t>[TUR0;NZW0;TWF0]CE(SR10.00);SRCE[NZW0];SRECE[NZW0]</w:t>
            </w:r>
          </w:p>
        </w:tc>
      </w:tr>
      <w:tr w:rsidR="00BC4F82" w:rsidRPr="00BC4F82" w14:paraId="25F0669D" w14:textId="77777777" w:rsidTr="00BC4F82">
        <w:trPr>
          <w:trHeight w:val="290"/>
        </w:trPr>
        <w:tc>
          <w:tcPr>
            <w:tcW w:w="5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D7800" w14:textId="77777777" w:rsidR="00BC4F82" w:rsidRPr="00BC4F82" w:rsidRDefault="00BC4F82" w:rsidP="00BC4F82">
            <w:pPr>
              <w:pStyle w:val="TableTimes"/>
            </w:pPr>
            <w:r w:rsidRPr="00BC4F82">
              <w:t>Manual[SIACCEMinRiskMW]CE;OtherIslandCE</w:t>
            </w:r>
          </w:p>
        </w:tc>
      </w:tr>
    </w:tbl>
    <w:p w14:paraId="00733746" w14:textId="305AB0A1" w:rsidR="00BC4F82" w:rsidRDefault="00BC4F82" w:rsidP="006C3FE1">
      <w:pPr>
        <w:contextualSpacing w:val="0"/>
        <w:rPr>
          <w:lang w:eastAsia="en-GB"/>
        </w:rPr>
      </w:pPr>
      <w:r>
        <w:rPr>
          <w:lang w:eastAsia="en-GB"/>
        </w:rPr>
        <w:t xml:space="preserve">Note that because the risk setter string is only used by the </w:t>
      </w:r>
      <w:r w:rsidR="00D556A0">
        <w:rPr>
          <w:lang w:eastAsia="en-GB"/>
        </w:rPr>
        <w:t>coordination</w:t>
      </w:r>
      <w:r>
        <w:rPr>
          <w:lang w:eastAsia="en-GB"/>
        </w:rPr>
        <w:t xml:space="preserve"> centre</w:t>
      </w:r>
      <w:r w:rsidR="00B40D45">
        <w:rPr>
          <w:lang w:eastAsia="en-GB"/>
        </w:rPr>
        <w:t>s</w:t>
      </w:r>
      <w:r>
        <w:rPr>
          <w:lang w:eastAsia="en-GB"/>
        </w:rPr>
        <w:t xml:space="preserve"> the exact format of this commissioning risk reporting may change as a result of UAT.</w:t>
      </w:r>
    </w:p>
    <w:p w14:paraId="54ABCEEC" w14:textId="1C9365FF" w:rsidR="00F37411" w:rsidRDefault="00F37411" w:rsidP="007A3D2D">
      <w:pPr>
        <w:pStyle w:val="Heading1"/>
      </w:pPr>
      <w:bookmarkStart w:id="6" w:name="_Hlk188974779"/>
      <w:r>
        <w:lastRenderedPageBreak/>
        <w:t>Zero</w:t>
      </w:r>
      <w:r w:rsidR="003744DD">
        <w:t>ing</w:t>
      </w:r>
      <w:r w:rsidR="00904F60">
        <w:t xml:space="preserve"> </w:t>
      </w:r>
      <w:r w:rsidR="00210B54">
        <w:t>R</w:t>
      </w:r>
      <w:r w:rsidRPr="007A3D2D">
        <w:t>eserve</w:t>
      </w:r>
      <w:r>
        <w:t xml:space="preserve"> </w:t>
      </w:r>
      <w:r w:rsidR="00210B54">
        <w:t>O</w:t>
      </w:r>
      <w:r>
        <w:t xml:space="preserve">ffers on </w:t>
      </w:r>
      <w:r w:rsidR="00210B54">
        <w:t>C</w:t>
      </w:r>
      <w:r>
        <w:t xml:space="preserve">ommissioning </w:t>
      </w:r>
      <w:r w:rsidR="00210B54">
        <w:t>R</w:t>
      </w:r>
      <w:r>
        <w:t>isk</w:t>
      </w:r>
    </w:p>
    <w:bookmarkEnd w:id="6"/>
    <w:p w14:paraId="7FF01D3A" w14:textId="1CA5EAD7" w:rsidR="00F37411" w:rsidRDefault="00F37411" w:rsidP="007A3D2D">
      <w:pPr>
        <w:pStyle w:val="Heading2"/>
      </w:pPr>
      <w:r>
        <w:t>Overview</w:t>
      </w:r>
    </w:p>
    <w:p w14:paraId="63204137" w14:textId="4444F322" w:rsidR="00F07C5E" w:rsidRPr="00F07C5E" w:rsidRDefault="00F07C5E" w:rsidP="00F07C5E">
      <w:pPr>
        <w:rPr>
          <w:lang w:eastAsia="en-GB"/>
        </w:rPr>
      </w:pPr>
      <w:r w:rsidRPr="00F07C5E">
        <w:rPr>
          <w:lang w:eastAsia="en-GB"/>
        </w:rPr>
        <w:t>A commissioning generator is modelled as a secondary risk</w:t>
      </w:r>
      <w:r w:rsidR="00C34E6C">
        <w:rPr>
          <w:lang w:eastAsia="en-GB"/>
        </w:rPr>
        <w:t xml:space="preserve"> in RMT</w:t>
      </w:r>
      <w:r w:rsidRPr="00F07C5E">
        <w:rPr>
          <w:lang w:eastAsia="en-GB"/>
        </w:rPr>
        <w:t xml:space="preserve">. A secondary risk should not be providing reserve because this generator will most likely trip if there is a frequency event. To cover the possibility of reserve inadvertently offered on a secondary risk the </w:t>
      </w:r>
      <w:r w:rsidR="00C34E6C">
        <w:rPr>
          <w:lang w:eastAsia="en-GB"/>
        </w:rPr>
        <w:t xml:space="preserve">SPD </w:t>
      </w:r>
      <w:r w:rsidRPr="00F07C5E">
        <w:rPr>
          <w:lang w:eastAsia="en-GB"/>
        </w:rPr>
        <w:t>pre-processing will zero reserve offers on any generator that has all of its capacity modelled as a secondary risk.</w:t>
      </w:r>
    </w:p>
    <w:p w14:paraId="6536F9DD" w14:textId="3A023C0C" w:rsidR="004C7539" w:rsidRDefault="004C7539" w:rsidP="007A3D2D">
      <w:pPr>
        <w:pStyle w:val="Heading2"/>
      </w:pPr>
      <w:r>
        <w:t>SPD Option</w:t>
      </w:r>
    </w:p>
    <w:tbl>
      <w:tblPr>
        <w:tblStyle w:val="TableGrid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801"/>
        <w:gridCol w:w="7655"/>
      </w:tblGrid>
      <w:tr w:rsidR="004C7539" w:rsidRPr="00A478D7" w14:paraId="351C0974" w14:textId="77777777" w:rsidTr="004C7539">
        <w:tc>
          <w:tcPr>
            <w:tcW w:w="2809" w:type="dxa"/>
          </w:tcPr>
          <w:p w14:paraId="091C899A" w14:textId="178BB42E" w:rsidR="004C7539" w:rsidRPr="00A478D7" w:rsidRDefault="004C7539" w:rsidP="00695DDD">
            <w:pPr>
              <w:pStyle w:val="TableTimes"/>
              <w:rPr>
                <w:szCs w:val="16"/>
                <w:highlight w:val="yellow"/>
              </w:rPr>
            </w:pPr>
            <w:bookmarkStart w:id="7" w:name="_Hlk184985199"/>
            <w:r w:rsidRPr="00E22839">
              <w:t>CommRiskDoCheckResOffers</w:t>
            </w:r>
          </w:p>
        </w:tc>
        <w:tc>
          <w:tcPr>
            <w:tcW w:w="8101" w:type="dxa"/>
          </w:tcPr>
          <w:p w14:paraId="26D78528" w14:textId="0312B3E5" w:rsidR="004C7539" w:rsidRPr="00A478D7" w:rsidRDefault="004C7539" w:rsidP="00695DDD">
            <w:pPr>
              <w:pStyle w:val="TableTimes"/>
            </w:pPr>
            <w:r w:rsidRPr="00A478D7">
              <w:t xml:space="preserve">SPD Option. If </w:t>
            </w:r>
            <w:r>
              <w:t>set to 1</w:t>
            </w:r>
            <w:r w:rsidRPr="00A478D7">
              <w:t xml:space="preserve"> then </w:t>
            </w:r>
            <w:r>
              <w:t>the reserves on will be zeroed on a commissioning risk.</w:t>
            </w:r>
            <w:r w:rsidRPr="00A478D7">
              <w:t xml:space="preserve"> If </w:t>
            </w:r>
            <w:r>
              <w:t>set to 0</w:t>
            </w:r>
            <w:r w:rsidRPr="00A478D7">
              <w:t xml:space="preserve"> then </w:t>
            </w:r>
            <w:r>
              <w:t>no action will be taken</w:t>
            </w:r>
            <w:r w:rsidRPr="00A478D7">
              <w:t>.</w:t>
            </w:r>
            <w:r w:rsidR="00D429CF">
              <w:t xml:space="preserve"> The SPD default is 1.</w:t>
            </w:r>
          </w:p>
        </w:tc>
      </w:tr>
    </w:tbl>
    <w:bookmarkEnd w:id="7"/>
    <w:p w14:paraId="0A420FE6" w14:textId="0314EE26" w:rsidR="000B247D" w:rsidRDefault="004C7539" w:rsidP="007A3D2D">
      <w:pPr>
        <w:pStyle w:val="Heading2"/>
      </w:pPr>
      <w:r>
        <w:t>Pre-processing</w:t>
      </w:r>
    </w:p>
    <w:p w14:paraId="4F152FA4" w14:textId="42B99D48" w:rsidR="00E01C4B" w:rsidRDefault="00E01C4B" w:rsidP="00E01C4B">
      <w:pPr>
        <w:contextualSpacing w:val="0"/>
      </w:pPr>
      <w:r>
        <w:t xml:space="preserve">Zero the reserve offers on </w:t>
      </w:r>
      <w:r w:rsidR="00073F9E">
        <w:t>a</w:t>
      </w:r>
      <w:r>
        <w:t xml:space="preserve"> pnode where ISCOMMISSIONING = 1 and ISPARTCOMM = 0.</w:t>
      </w:r>
    </w:p>
    <w:p w14:paraId="1D73DB05" w14:textId="298F087E" w:rsidR="004C7539" w:rsidRDefault="004C7539" w:rsidP="007A3D2D">
      <w:pPr>
        <w:pStyle w:val="Heading2"/>
      </w:pPr>
      <w:r>
        <w:t>Logging</w:t>
      </w:r>
    </w:p>
    <w:p w14:paraId="3E781334" w14:textId="341BD209" w:rsidR="00C43318" w:rsidRDefault="004C7539" w:rsidP="00F37411">
      <w:pPr>
        <w:contextualSpacing w:val="0"/>
      </w:pPr>
      <w:r>
        <w:t xml:space="preserve">If reserve </w:t>
      </w:r>
      <w:r w:rsidR="00E01C4B">
        <w:t>offers are</w:t>
      </w:r>
      <w:r>
        <w:t xml:space="preserve"> zeroed </w:t>
      </w:r>
      <w:r w:rsidR="00E01C4B">
        <w:t xml:space="preserve">on a commissioning unit </w:t>
      </w:r>
      <w:r>
        <w:t>then th</w:t>
      </w:r>
      <w:r w:rsidR="00E01C4B">
        <w:t>e details</w:t>
      </w:r>
      <w:r>
        <w:t xml:space="preserve"> </w:t>
      </w:r>
      <w:r w:rsidR="00E01C4B">
        <w:t>are</w:t>
      </w:r>
      <w:r>
        <w:t xml:space="preserve"> logg</w:t>
      </w:r>
      <w:r w:rsidR="00E01C4B">
        <w:t>ed</w:t>
      </w:r>
      <w:r w:rsidR="005E72A8">
        <w:t>,</w:t>
      </w:r>
      <w:r>
        <w:t xml:space="preserve"> and an alert is raised.</w:t>
      </w:r>
    </w:p>
    <w:p w14:paraId="2210A711" w14:textId="77777777" w:rsidR="00936ADC" w:rsidRDefault="00936ADC" w:rsidP="00936ADC">
      <w:pPr>
        <w:pStyle w:val="Heading2"/>
      </w:pPr>
      <w:r>
        <w:t>Formulation changes</w:t>
      </w:r>
    </w:p>
    <w:p w14:paraId="73E5F357" w14:textId="31F16239" w:rsidR="00936ADC" w:rsidRDefault="00936ADC" w:rsidP="00936ADC">
      <w:pPr>
        <w:rPr>
          <w:lang w:eastAsia="en-GB"/>
        </w:rPr>
      </w:pPr>
      <w:r>
        <w:rPr>
          <w:lang w:eastAsia="en-GB"/>
        </w:rPr>
        <w:t xml:space="preserve">Pre-processing </w:t>
      </w:r>
      <w:r w:rsidR="00047A90">
        <w:rPr>
          <w:lang w:eastAsia="en-GB"/>
        </w:rPr>
        <w:t xml:space="preserve">to </w:t>
      </w:r>
      <w:r w:rsidR="00C34E6C">
        <w:rPr>
          <w:lang w:eastAsia="en-GB"/>
        </w:rPr>
        <w:t>zero</w:t>
      </w:r>
      <w:r w:rsidR="00047A90">
        <w:rPr>
          <w:lang w:eastAsia="en-GB"/>
        </w:rPr>
        <w:t xml:space="preserve"> reserve offers on </w:t>
      </w:r>
      <w:r w:rsidR="00F07C5E">
        <w:rPr>
          <w:lang w:eastAsia="en-GB"/>
        </w:rPr>
        <w:t xml:space="preserve">secondary </w:t>
      </w:r>
      <w:r w:rsidR="00047A90">
        <w:rPr>
          <w:lang w:eastAsia="en-GB"/>
        </w:rPr>
        <w:t>risk</w:t>
      </w:r>
      <w:r w:rsidR="00F07C5E">
        <w:rPr>
          <w:lang w:eastAsia="en-GB"/>
        </w:rPr>
        <w:t>s.</w:t>
      </w:r>
    </w:p>
    <w:p w14:paraId="57B54B56" w14:textId="77777777" w:rsidR="00936ADC" w:rsidRDefault="00936ADC" w:rsidP="00936ADC">
      <w:pPr>
        <w:pStyle w:val="Heading2"/>
      </w:pPr>
      <w:r>
        <w:t>Example case</w:t>
      </w:r>
    </w:p>
    <w:p w14:paraId="3F4F17A1" w14:textId="31719C73" w:rsidR="0021297A" w:rsidRDefault="0021297A" w:rsidP="0021297A">
      <w:r>
        <w:t>10:00 HLY5 is commissioning risk with offered reserves</w:t>
      </w:r>
      <w:r w:rsidR="00261C53">
        <w:t>.</w:t>
      </w:r>
      <w:r>
        <w:t xml:space="preserve"> SPD </w:t>
      </w:r>
      <w:r w:rsidR="00261C53">
        <w:t xml:space="preserve">pre-processing </w:t>
      </w:r>
      <w:r>
        <w:t>sets reserve offers to zero</w:t>
      </w:r>
      <w:r w:rsidR="00261C53">
        <w:t xml:space="preserve"> and logs the following</w:t>
      </w:r>
      <w:r>
        <w:t xml:space="preserve"> CLU message:</w:t>
      </w:r>
    </w:p>
    <w:p w14:paraId="4F37CDEA" w14:textId="75D44ED7" w:rsidR="0021297A" w:rsidRDefault="0021297A" w:rsidP="0021297A">
      <w:pPr>
        <w:pStyle w:val="code"/>
        <w:rPr>
          <w:lang w:eastAsia="en-GB"/>
        </w:rPr>
      </w:pPr>
      <w:r w:rsidRPr="0021297A">
        <w:rPr>
          <w:lang w:eastAsia="en-GB"/>
        </w:rPr>
        <w:t>D,SOLUTION,CLUMESSAGE,1.0,SPD,SPD,TP-5CG3351JHJ,261322025012100401,PreProc: ExtractTraderPeriodData,28-01-2025 08:49:58.85|Reserve offer 30.000 zeroed on commissioning pnode HLY2201 HLY5 for 27-JAN-2025 10:00 (CaseID=261322025012100401),NULL,Warning</w:t>
      </w:r>
    </w:p>
    <w:p w14:paraId="50827F49" w14:textId="77777777" w:rsidR="008621F6" w:rsidRPr="007A3D2D" w:rsidRDefault="008621F6" w:rsidP="007A3D2D">
      <w:pPr>
        <w:pStyle w:val="Heading1"/>
      </w:pPr>
      <w:r>
        <w:t>Manual Risk Reporting</w:t>
      </w:r>
    </w:p>
    <w:p w14:paraId="1E32320A" w14:textId="1CC5FFDB" w:rsidR="008621F6" w:rsidRPr="007A3D2D" w:rsidRDefault="008621F6" w:rsidP="007A3D2D">
      <w:pPr>
        <w:pStyle w:val="Heading2"/>
      </w:pPr>
      <w:r>
        <w:t>Overview</w:t>
      </w:r>
    </w:p>
    <w:p w14:paraId="7C26219B" w14:textId="773F4F4A" w:rsidR="00AB55D1" w:rsidRDefault="008621F6" w:rsidP="00AB55D1">
      <w:pPr>
        <w:contextualSpacing w:val="0"/>
      </w:pPr>
      <w:r>
        <w:t xml:space="preserve">The manual risk </w:t>
      </w:r>
      <w:r w:rsidR="00851FD0">
        <w:t xml:space="preserve">specifies a </w:t>
      </w:r>
      <w:r>
        <w:t xml:space="preserve">risk </w:t>
      </w:r>
      <w:r w:rsidR="00851FD0">
        <w:t xml:space="preserve">quantity </w:t>
      </w:r>
      <w:r>
        <w:t>that must be covered by SPD. A manual risk is either a default minimum for the island or an AC Risk created by the operator.</w:t>
      </w:r>
    </w:p>
    <w:p w14:paraId="10F08B42" w14:textId="7D81DB71" w:rsidR="00AB55D1" w:rsidRDefault="00AB55D1" w:rsidP="00AB55D1">
      <w:pPr>
        <w:contextualSpacing w:val="0"/>
      </w:pPr>
      <w:r>
        <w:t xml:space="preserve">Currently if the manual risk is the risk setter then </w:t>
      </w:r>
      <w:r w:rsidR="00904F60">
        <w:t xml:space="preserve">SPD reports </w:t>
      </w:r>
      <w:r>
        <w:t>the risk name as MANUAL.</w:t>
      </w:r>
    </w:p>
    <w:p w14:paraId="45EA8674" w14:textId="45C7CFE7" w:rsidR="008621F6" w:rsidRPr="008621F6" w:rsidRDefault="008621F6" w:rsidP="00AB55D1">
      <w:pPr>
        <w:contextualSpacing w:val="0"/>
      </w:pPr>
      <w:r>
        <w:t>Externally the manual risk ha</w:t>
      </w:r>
      <w:r w:rsidR="00AB55D1">
        <w:t>s</w:t>
      </w:r>
      <w:r>
        <w:t xml:space="preserve"> an identifier, the change is to read this</w:t>
      </w:r>
      <w:r w:rsidR="00721BC6">
        <w:t xml:space="preserve"> identifier</w:t>
      </w:r>
      <w:r>
        <w:t xml:space="preserve"> into SPD and include it in </w:t>
      </w:r>
      <w:r w:rsidR="00721BC6">
        <w:t xml:space="preserve">the </w:t>
      </w:r>
      <w:r>
        <w:t>risk reporting if the manual risk is the risk setter.</w:t>
      </w:r>
    </w:p>
    <w:p w14:paraId="622ABCDD" w14:textId="77777777" w:rsidR="008621F6" w:rsidRDefault="008621F6" w:rsidP="007A3D2D">
      <w:pPr>
        <w:pStyle w:val="Heading2"/>
      </w:pPr>
      <w:bookmarkStart w:id="8" w:name="_Hlk184985497"/>
      <w:r>
        <w:t>New SPD Inputs</w:t>
      </w:r>
    </w:p>
    <w:p w14:paraId="326B1416" w14:textId="4D7D0F3E" w:rsidR="00904F60" w:rsidRPr="00904F60" w:rsidRDefault="00904F60" w:rsidP="00904F60">
      <w:pPr>
        <w:rPr>
          <w:lang w:eastAsia="en-GB"/>
        </w:rPr>
      </w:pPr>
      <w:r>
        <w:rPr>
          <w:lang w:eastAsia="en-GB"/>
        </w:rPr>
        <w:t>New inputs to identify the manual risk.</w:t>
      </w:r>
    </w:p>
    <w:p w14:paraId="1C9C5583" w14:textId="00AE216A" w:rsidR="008621F6" w:rsidRDefault="00126C4D" w:rsidP="008621F6">
      <w:r>
        <w:t xml:space="preserve">Update and additions to existing input section: </w:t>
      </w:r>
      <w:r w:rsidR="008621F6">
        <w:t>PERIOD.RISKPARAMSCHEDULE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4"/>
        <w:gridCol w:w="7282"/>
      </w:tblGrid>
      <w:tr w:rsidR="008621F6" w:rsidRPr="00EE24EC" w14:paraId="1DFC3F45" w14:textId="77777777" w:rsidTr="00476533">
        <w:tc>
          <w:tcPr>
            <w:tcW w:w="3114" w:type="dxa"/>
            <w:shd w:val="clear" w:color="auto" w:fill="F2F2F2" w:themeFill="background1" w:themeFillShade="F2"/>
            <w:vAlign w:val="center"/>
          </w:tcPr>
          <w:p w14:paraId="3489334B" w14:textId="77777777" w:rsidR="008621F6" w:rsidRPr="00EE24EC" w:rsidRDefault="008621F6" w:rsidP="00476533">
            <w:pPr>
              <w:spacing w:before="0" w:after="0"/>
              <w:rPr>
                <w:sz w:val="22"/>
                <w:szCs w:val="18"/>
              </w:rPr>
            </w:pPr>
            <w:r w:rsidRPr="00EE24EC">
              <w:rPr>
                <w:sz w:val="22"/>
                <w:szCs w:val="18"/>
              </w:rPr>
              <w:t>Field</w:t>
            </w:r>
          </w:p>
        </w:tc>
        <w:tc>
          <w:tcPr>
            <w:tcW w:w="7342" w:type="dxa"/>
            <w:shd w:val="clear" w:color="auto" w:fill="F2F2F2" w:themeFill="background1" w:themeFillShade="F2"/>
            <w:vAlign w:val="center"/>
          </w:tcPr>
          <w:p w14:paraId="0E81A0A3" w14:textId="77777777" w:rsidR="008621F6" w:rsidRPr="00EE24EC" w:rsidRDefault="008621F6" w:rsidP="00476533">
            <w:pPr>
              <w:spacing w:before="0" w:after="0"/>
              <w:rPr>
                <w:sz w:val="22"/>
                <w:szCs w:val="18"/>
              </w:rPr>
            </w:pPr>
            <w:r w:rsidRPr="00EE24EC">
              <w:rPr>
                <w:sz w:val="22"/>
                <w:szCs w:val="18"/>
              </w:rPr>
              <w:t>Description</w:t>
            </w:r>
          </w:p>
        </w:tc>
      </w:tr>
      <w:tr w:rsidR="008621F6" w:rsidRPr="00EE24EC" w14:paraId="5DDDD35A" w14:textId="77777777" w:rsidTr="00476533">
        <w:tc>
          <w:tcPr>
            <w:tcW w:w="3114" w:type="dxa"/>
            <w:vAlign w:val="center"/>
          </w:tcPr>
          <w:p w14:paraId="7113FA6D" w14:textId="77777777" w:rsidR="008621F6" w:rsidRPr="00EE24EC" w:rsidRDefault="008621F6" w:rsidP="00476533">
            <w:pPr>
              <w:spacing w:before="0" w:after="0"/>
              <w:rPr>
                <w:sz w:val="22"/>
                <w:szCs w:val="18"/>
              </w:rPr>
            </w:pPr>
            <w:r w:rsidRPr="00EE24EC">
              <w:rPr>
                <w:sz w:val="22"/>
                <w:szCs w:val="18"/>
              </w:rPr>
              <w:t>PNODENAME</w:t>
            </w:r>
          </w:p>
        </w:tc>
        <w:tc>
          <w:tcPr>
            <w:tcW w:w="7342" w:type="dxa"/>
            <w:vMerge w:val="restart"/>
            <w:vAlign w:val="center"/>
          </w:tcPr>
          <w:p w14:paraId="267B28ED" w14:textId="77777777" w:rsidR="008621F6" w:rsidRPr="00EE24EC" w:rsidRDefault="008621F6" w:rsidP="00476533">
            <w:pPr>
              <w:spacing w:before="0" w:after="0"/>
              <w:rPr>
                <w:sz w:val="22"/>
                <w:szCs w:val="18"/>
              </w:rPr>
            </w:pPr>
            <w:r w:rsidRPr="00EE24EC">
              <w:rPr>
                <w:sz w:val="22"/>
                <w:szCs w:val="18"/>
              </w:rPr>
              <w:t>Existing</w:t>
            </w:r>
          </w:p>
        </w:tc>
      </w:tr>
      <w:tr w:rsidR="008621F6" w:rsidRPr="00EE24EC" w14:paraId="1A088701" w14:textId="77777777" w:rsidTr="00476533">
        <w:tc>
          <w:tcPr>
            <w:tcW w:w="3114" w:type="dxa"/>
            <w:vAlign w:val="center"/>
          </w:tcPr>
          <w:p w14:paraId="220219EF" w14:textId="77777777" w:rsidR="008621F6" w:rsidRPr="00EE24EC" w:rsidRDefault="008621F6" w:rsidP="00476533">
            <w:pPr>
              <w:spacing w:before="0" w:after="0"/>
              <w:rPr>
                <w:sz w:val="22"/>
                <w:szCs w:val="18"/>
              </w:rPr>
            </w:pPr>
            <w:r w:rsidRPr="00EE24EC">
              <w:rPr>
                <w:sz w:val="22"/>
                <w:szCs w:val="18"/>
              </w:rPr>
              <w:t>UNITID</w:t>
            </w:r>
          </w:p>
        </w:tc>
        <w:tc>
          <w:tcPr>
            <w:tcW w:w="7342" w:type="dxa"/>
            <w:vMerge/>
            <w:vAlign w:val="center"/>
          </w:tcPr>
          <w:p w14:paraId="45A9B16D" w14:textId="77777777" w:rsidR="008621F6" w:rsidRPr="00EE24EC" w:rsidRDefault="008621F6" w:rsidP="00476533">
            <w:pPr>
              <w:spacing w:before="0" w:after="0"/>
              <w:rPr>
                <w:sz w:val="22"/>
                <w:szCs w:val="18"/>
              </w:rPr>
            </w:pPr>
          </w:p>
        </w:tc>
      </w:tr>
      <w:tr w:rsidR="008621F6" w:rsidRPr="00EE24EC" w14:paraId="1AE75661" w14:textId="77777777" w:rsidTr="00476533">
        <w:tc>
          <w:tcPr>
            <w:tcW w:w="3114" w:type="dxa"/>
            <w:vAlign w:val="center"/>
          </w:tcPr>
          <w:p w14:paraId="542FF420" w14:textId="77777777" w:rsidR="008621F6" w:rsidRPr="00EE24EC" w:rsidRDefault="008621F6" w:rsidP="00476533">
            <w:pPr>
              <w:spacing w:before="0" w:after="0"/>
              <w:rPr>
                <w:sz w:val="22"/>
                <w:szCs w:val="18"/>
              </w:rPr>
            </w:pPr>
            <w:r w:rsidRPr="00EE24EC">
              <w:rPr>
                <w:sz w:val="22"/>
                <w:szCs w:val="18"/>
                <w:highlight w:val="yellow"/>
              </w:rPr>
              <w:t>MANUALMINACCE</w:t>
            </w:r>
          </w:p>
        </w:tc>
        <w:tc>
          <w:tcPr>
            <w:tcW w:w="7342" w:type="dxa"/>
            <w:vAlign w:val="center"/>
          </w:tcPr>
          <w:p w14:paraId="175FEB70" w14:textId="77777777" w:rsidR="00C63230" w:rsidRDefault="008621F6" w:rsidP="00476533">
            <w:pPr>
              <w:spacing w:before="0" w:after="0"/>
              <w:rPr>
                <w:sz w:val="22"/>
                <w:szCs w:val="18"/>
              </w:rPr>
            </w:pPr>
            <w:r w:rsidRPr="00EE24EC">
              <w:rPr>
                <w:sz w:val="22"/>
                <w:szCs w:val="18"/>
                <w:highlight w:val="yellow"/>
              </w:rPr>
              <w:t>Renamed</w:t>
            </w:r>
            <w:r w:rsidRPr="00EE24EC">
              <w:rPr>
                <w:sz w:val="22"/>
                <w:szCs w:val="18"/>
              </w:rPr>
              <w:t xml:space="preserve"> for consistency with other inputs. </w:t>
            </w:r>
          </w:p>
          <w:p w14:paraId="4EB54365" w14:textId="4B36FB9F" w:rsidR="008621F6" w:rsidRPr="00EE24EC" w:rsidRDefault="008621F6" w:rsidP="00476533">
            <w:pPr>
              <w:spacing w:before="0" w:after="0"/>
              <w:rPr>
                <w:sz w:val="22"/>
                <w:szCs w:val="18"/>
              </w:rPr>
            </w:pPr>
            <w:r w:rsidRPr="00EE24EC">
              <w:rPr>
                <w:sz w:val="22"/>
                <w:szCs w:val="18"/>
              </w:rPr>
              <w:t>Was</w:t>
            </w:r>
            <w:r w:rsidR="00C63230">
              <w:rPr>
                <w:sz w:val="22"/>
                <w:szCs w:val="18"/>
              </w:rPr>
              <w:t xml:space="preserve"> </w:t>
            </w:r>
            <w:r w:rsidRPr="00EE24EC">
              <w:rPr>
                <w:sz w:val="22"/>
                <w:szCs w:val="18"/>
              </w:rPr>
              <w:t>MANUALLYENTEREDMIN.</w:t>
            </w:r>
          </w:p>
        </w:tc>
      </w:tr>
      <w:tr w:rsidR="008621F6" w:rsidRPr="00EE24EC" w14:paraId="4C6004F6" w14:textId="77777777" w:rsidTr="00476533">
        <w:tc>
          <w:tcPr>
            <w:tcW w:w="3114" w:type="dxa"/>
            <w:vAlign w:val="center"/>
          </w:tcPr>
          <w:p w14:paraId="37E9952A" w14:textId="77777777" w:rsidR="008621F6" w:rsidRPr="00EE24EC" w:rsidRDefault="008621F6" w:rsidP="00476533">
            <w:pPr>
              <w:spacing w:before="0" w:after="0"/>
              <w:rPr>
                <w:sz w:val="22"/>
                <w:szCs w:val="18"/>
              </w:rPr>
            </w:pPr>
            <w:r w:rsidRPr="00EE24EC">
              <w:rPr>
                <w:sz w:val="22"/>
                <w:szCs w:val="18"/>
              </w:rPr>
              <w:t>MANUALMINACECE</w:t>
            </w:r>
          </w:p>
        </w:tc>
        <w:tc>
          <w:tcPr>
            <w:tcW w:w="7342" w:type="dxa"/>
            <w:vAlign w:val="center"/>
          </w:tcPr>
          <w:p w14:paraId="170C4281" w14:textId="77777777" w:rsidR="008621F6" w:rsidRPr="00EE24EC" w:rsidRDefault="008621F6" w:rsidP="00476533">
            <w:pPr>
              <w:spacing w:before="0" w:after="0"/>
              <w:rPr>
                <w:sz w:val="22"/>
                <w:szCs w:val="18"/>
              </w:rPr>
            </w:pPr>
            <w:r w:rsidRPr="00EE24EC">
              <w:rPr>
                <w:sz w:val="22"/>
                <w:szCs w:val="18"/>
              </w:rPr>
              <w:t>Existing</w:t>
            </w:r>
          </w:p>
        </w:tc>
      </w:tr>
      <w:tr w:rsidR="008621F6" w:rsidRPr="00EE24EC" w14:paraId="4B053665" w14:textId="77777777" w:rsidTr="00476533">
        <w:tc>
          <w:tcPr>
            <w:tcW w:w="3114" w:type="dxa"/>
            <w:vAlign w:val="center"/>
          </w:tcPr>
          <w:p w14:paraId="1AAB30C1" w14:textId="77777777" w:rsidR="008621F6" w:rsidRPr="00EE24EC" w:rsidRDefault="008621F6" w:rsidP="00476533">
            <w:pPr>
              <w:spacing w:before="0" w:after="0"/>
              <w:rPr>
                <w:sz w:val="22"/>
                <w:szCs w:val="18"/>
              </w:rPr>
            </w:pPr>
            <w:r w:rsidRPr="00EE24EC">
              <w:rPr>
                <w:sz w:val="22"/>
                <w:szCs w:val="18"/>
              </w:rPr>
              <w:t>...</w:t>
            </w:r>
          </w:p>
        </w:tc>
        <w:tc>
          <w:tcPr>
            <w:tcW w:w="7342" w:type="dxa"/>
            <w:vAlign w:val="center"/>
          </w:tcPr>
          <w:p w14:paraId="347A185B" w14:textId="77777777" w:rsidR="008621F6" w:rsidRPr="00EE24EC" w:rsidRDefault="008621F6" w:rsidP="00476533">
            <w:pPr>
              <w:spacing w:before="0" w:after="0"/>
              <w:rPr>
                <w:sz w:val="22"/>
                <w:szCs w:val="18"/>
              </w:rPr>
            </w:pPr>
            <w:r w:rsidRPr="00EE24EC">
              <w:rPr>
                <w:sz w:val="22"/>
                <w:szCs w:val="18"/>
              </w:rPr>
              <w:t>...</w:t>
            </w:r>
          </w:p>
        </w:tc>
      </w:tr>
      <w:tr w:rsidR="008621F6" w:rsidRPr="00EE24EC" w14:paraId="02233827" w14:textId="77777777" w:rsidTr="00476533">
        <w:tc>
          <w:tcPr>
            <w:tcW w:w="3114" w:type="dxa"/>
            <w:vAlign w:val="center"/>
          </w:tcPr>
          <w:p w14:paraId="2204AAA4" w14:textId="77777777" w:rsidR="008621F6" w:rsidRPr="00EE24EC" w:rsidRDefault="008621F6" w:rsidP="00476533">
            <w:pPr>
              <w:spacing w:before="0" w:after="0"/>
              <w:rPr>
                <w:sz w:val="22"/>
                <w:szCs w:val="18"/>
                <w:highlight w:val="green"/>
              </w:rPr>
            </w:pPr>
            <w:r w:rsidRPr="00EE24EC">
              <w:rPr>
                <w:sz w:val="22"/>
                <w:szCs w:val="18"/>
                <w:highlight w:val="green"/>
              </w:rPr>
              <w:lastRenderedPageBreak/>
              <w:t>ManualMinACCEName</w:t>
            </w:r>
          </w:p>
        </w:tc>
        <w:tc>
          <w:tcPr>
            <w:tcW w:w="7342" w:type="dxa"/>
            <w:vAlign w:val="center"/>
          </w:tcPr>
          <w:p w14:paraId="28132946" w14:textId="76058986" w:rsidR="008621F6" w:rsidRPr="00EE24EC" w:rsidRDefault="008621F6" w:rsidP="00476533">
            <w:pPr>
              <w:pStyle w:val="TableTimes"/>
              <w:spacing w:before="0"/>
              <w:contextualSpacing/>
            </w:pPr>
            <w:r w:rsidRPr="00EE24EC">
              <w:t xml:space="preserve">The name of the Pnode, or AC Risk, or Parameter that is setting </w:t>
            </w:r>
            <w:r w:rsidR="00904F60">
              <w:t xml:space="preserve">CE </w:t>
            </w:r>
            <w:r w:rsidRPr="00EE24EC">
              <w:t>manual risk</w:t>
            </w:r>
            <w:r w:rsidR="00904F60">
              <w:t>, e</w:t>
            </w:r>
            <w:r w:rsidRPr="00EE24EC">
              <w:t xml:space="preserve">.g., BEN2201 BEN0, or TWF_TUR, or SIACECEMinRiskMW, or </w:t>
            </w:r>
            <w:r w:rsidR="00904F60">
              <w:t>NI</w:t>
            </w:r>
          </w:p>
        </w:tc>
      </w:tr>
      <w:tr w:rsidR="008621F6" w:rsidRPr="00EE24EC" w14:paraId="1B6D2CCD" w14:textId="77777777" w:rsidTr="00476533">
        <w:tc>
          <w:tcPr>
            <w:tcW w:w="3114" w:type="dxa"/>
            <w:vAlign w:val="center"/>
          </w:tcPr>
          <w:p w14:paraId="1C2DDBDB" w14:textId="77777777" w:rsidR="008621F6" w:rsidRPr="00EE24EC" w:rsidRDefault="008621F6" w:rsidP="00476533">
            <w:pPr>
              <w:spacing w:before="0" w:after="0"/>
              <w:rPr>
                <w:sz w:val="22"/>
                <w:szCs w:val="18"/>
                <w:highlight w:val="green"/>
              </w:rPr>
            </w:pPr>
            <w:r w:rsidRPr="00EE24EC">
              <w:rPr>
                <w:sz w:val="22"/>
                <w:szCs w:val="18"/>
                <w:highlight w:val="green"/>
              </w:rPr>
              <w:t>ManualMinACECEName</w:t>
            </w:r>
          </w:p>
        </w:tc>
        <w:tc>
          <w:tcPr>
            <w:tcW w:w="7342" w:type="dxa"/>
            <w:vAlign w:val="center"/>
          </w:tcPr>
          <w:p w14:paraId="26581011" w14:textId="77777777" w:rsidR="008621F6" w:rsidRPr="00EE24EC" w:rsidRDefault="008621F6" w:rsidP="00476533">
            <w:pPr>
              <w:pStyle w:val="TableTimes"/>
              <w:spacing w:before="0"/>
              <w:contextualSpacing/>
            </w:pPr>
            <w:r w:rsidRPr="00EE24EC">
              <w:t>Ditto for ECE</w:t>
            </w:r>
          </w:p>
        </w:tc>
      </w:tr>
      <w:tr w:rsidR="008621F6" w:rsidRPr="00EE24EC" w14:paraId="5123E0BD" w14:textId="77777777" w:rsidTr="00476533">
        <w:tc>
          <w:tcPr>
            <w:tcW w:w="3114" w:type="dxa"/>
            <w:vAlign w:val="center"/>
          </w:tcPr>
          <w:p w14:paraId="465C7908" w14:textId="77777777" w:rsidR="008621F6" w:rsidRPr="00EE24EC" w:rsidRDefault="008621F6" w:rsidP="00476533">
            <w:pPr>
              <w:spacing w:before="0" w:after="0"/>
              <w:rPr>
                <w:sz w:val="22"/>
                <w:szCs w:val="18"/>
                <w:highlight w:val="green"/>
              </w:rPr>
            </w:pPr>
            <w:r w:rsidRPr="00EE24EC">
              <w:rPr>
                <w:sz w:val="22"/>
                <w:szCs w:val="18"/>
                <w:highlight w:val="green"/>
              </w:rPr>
              <w:t>ManualMinACCEPnodeID</w:t>
            </w:r>
          </w:p>
        </w:tc>
        <w:tc>
          <w:tcPr>
            <w:tcW w:w="7342" w:type="dxa"/>
            <w:vAlign w:val="center"/>
          </w:tcPr>
          <w:p w14:paraId="649C0976" w14:textId="77777777" w:rsidR="008621F6" w:rsidRPr="00EE24EC" w:rsidRDefault="008621F6" w:rsidP="00476533">
            <w:pPr>
              <w:spacing w:before="0" w:after="0"/>
              <w:rPr>
                <w:sz w:val="22"/>
                <w:szCs w:val="18"/>
              </w:rPr>
            </w:pPr>
            <w:r w:rsidRPr="00EE24EC">
              <w:rPr>
                <w:sz w:val="22"/>
                <w:szCs w:val="18"/>
              </w:rPr>
              <w:t>If the manual min CE is a single pnode then this will be its PnodeID</w:t>
            </w:r>
          </w:p>
        </w:tc>
      </w:tr>
      <w:tr w:rsidR="008621F6" w:rsidRPr="00EE24EC" w14:paraId="327C3BA4" w14:textId="77777777" w:rsidTr="00476533">
        <w:tc>
          <w:tcPr>
            <w:tcW w:w="3114" w:type="dxa"/>
            <w:vAlign w:val="center"/>
          </w:tcPr>
          <w:p w14:paraId="68718993" w14:textId="77777777" w:rsidR="008621F6" w:rsidRPr="00EE24EC" w:rsidRDefault="008621F6" w:rsidP="00476533">
            <w:pPr>
              <w:spacing w:before="0" w:after="0"/>
              <w:rPr>
                <w:sz w:val="22"/>
                <w:szCs w:val="18"/>
                <w:highlight w:val="green"/>
              </w:rPr>
            </w:pPr>
            <w:r w:rsidRPr="00EE24EC">
              <w:rPr>
                <w:sz w:val="22"/>
                <w:szCs w:val="18"/>
                <w:highlight w:val="green"/>
              </w:rPr>
              <w:t>ManualMinACECEPnodeID</w:t>
            </w:r>
          </w:p>
        </w:tc>
        <w:tc>
          <w:tcPr>
            <w:tcW w:w="7342" w:type="dxa"/>
            <w:vAlign w:val="center"/>
          </w:tcPr>
          <w:p w14:paraId="66B7C137" w14:textId="77777777" w:rsidR="008621F6" w:rsidRPr="00EE24EC" w:rsidRDefault="008621F6" w:rsidP="00476533">
            <w:pPr>
              <w:spacing w:before="0" w:after="0"/>
              <w:rPr>
                <w:sz w:val="22"/>
                <w:szCs w:val="18"/>
              </w:rPr>
            </w:pPr>
            <w:r w:rsidRPr="00EE24EC">
              <w:rPr>
                <w:sz w:val="22"/>
                <w:szCs w:val="18"/>
              </w:rPr>
              <w:t>Ditto for ECE</w:t>
            </w:r>
          </w:p>
        </w:tc>
      </w:tr>
      <w:tr w:rsidR="008621F6" w:rsidRPr="00EE24EC" w14:paraId="6914D627" w14:textId="77777777" w:rsidTr="00476533">
        <w:tc>
          <w:tcPr>
            <w:tcW w:w="3114" w:type="dxa"/>
            <w:vAlign w:val="center"/>
          </w:tcPr>
          <w:p w14:paraId="6308C231" w14:textId="77777777" w:rsidR="008621F6" w:rsidRPr="00EE24EC" w:rsidRDefault="008621F6" w:rsidP="00476533">
            <w:pPr>
              <w:spacing w:before="0" w:after="0"/>
              <w:rPr>
                <w:sz w:val="22"/>
                <w:szCs w:val="18"/>
                <w:highlight w:val="green"/>
              </w:rPr>
            </w:pPr>
            <w:r w:rsidRPr="00EE24EC">
              <w:rPr>
                <w:sz w:val="22"/>
                <w:szCs w:val="18"/>
                <w:highlight w:val="green"/>
              </w:rPr>
              <w:t>ManualMinACCERiskGroupID</w:t>
            </w:r>
          </w:p>
        </w:tc>
        <w:tc>
          <w:tcPr>
            <w:tcW w:w="7342" w:type="dxa"/>
            <w:vAlign w:val="center"/>
          </w:tcPr>
          <w:p w14:paraId="620EB3CE" w14:textId="77777777" w:rsidR="008621F6" w:rsidRPr="00EE24EC" w:rsidRDefault="008621F6" w:rsidP="00476533">
            <w:pPr>
              <w:spacing w:before="0" w:after="0"/>
              <w:rPr>
                <w:sz w:val="22"/>
                <w:szCs w:val="18"/>
              </w:rPr>
            </w:pPr>
            <w:r w:rsidRPr="00EE24EC">
              <w:rPr>
                <w:sz w:val="22"/>
                <w:szCs w:val="18"/>
              </w:rPr>
              <w:t xml:space="preserve">If the manual min CE is a risk group then this will be its ACRiskID. </w:t>
            </w:r>
          </w:p>
        </w:tc>
      </w:tr>
      <w:tr w:rsidR="008621F6" w:rsidRPr="00EE24EC" w14:paraId="0E591ED0" w14:textId="77777777" w:rsidTr="00476533">
        <w:tc>
          <w:tcPr>
            <w:tcW w:w="3114" w:type="dxa"/>
            <w:vAlign w:val="center"/>
          </w:tcPr>
          <w:p w14:paraId="5F687AB8" w14:textId="77777777" w:rsidR="008621F6" w:rsidRPr="00EE24EC" w:rsidRDefault="008621F6" w:rsidP="00476533">
            <w:pPr>
              <w:spacing w:before="0" w:after="0"/>
              <w:rPr>
                <w:sz w:val="22"/>
                <w:szCs w:val="18"/>
                <w:highlight w:val="green"/>
              </w:rPr>
            </w:pPr>
            <w:r w:rsidRPr="00EE24EC">
              <w:rPr>
                <w:sz w:val="22"/>
                <w:szCs w:val="18"/>
                <w:highlight w:val="green"/>
              </w:rPr>
              <w:t>ManualMinACECERiskGroupID</w:t>
            </w:r>
          </w:p>
        </w:tc>
        <w:tc>
          <w:tcPr>
            <w:tcW w:w="7342" w:type="dxa"/>
            <w:vAlign w:val="center"/>
          </w:tcPr>
          <w:p w14:paraId="4638DBE8" w14:textId="77777777" w:rsidR="008621F6" w:rsidRPr="00EE24EC" w:rsidRDefault="008621F6" w:rsidP="00476533">
            <w:pPr>
              <w:spacing w:before="0" w:after="0"/>
              <w:rPr>
                <w:sz w:val="22"/>
                <w:szCs w:val="18"/>
              </w:rPr>
            </w:pPr>
            <w:r w:rsidRPr="00EE24EC">
              <w:rPr>
                <w:sz w:val="22"/>
                <w:szCs w:val="18"/>
              </w:rPr>
              <w:t>Ditto for ECE</w:t>
            </w:r>
          </w:p>
        </w:tc>
      </w:tr>
    </w:tbl>
    <w:bookmarkEnd w:id="8"/>
    <w:p w14:paraId="15F9CAE8" w14:textId="6267C641" w:rsidR="00485502" w:rsidRDefault="00AB55D1" w:rsidP="007A3D2D">
      <w:pPr>
        <w:pStyle w:val="Heading2"/>
      </w:pPr>
      <w:r>
        <w:t>Reporting</w:t>
      </w:r>
    </w:p>
    <w:p w14:paraId="5E14C372" w14:textId="70C5F5D2" w:rsidR="00AB55D1" w:rsidRDefault="00AB55D1" w:rsidP="00AB55D1">
      <w:pPr>
        <w:rPr>
          <w:lang w:eastAsia="en-GB"/>
        </w:rPr>
      </w:pPr>
      <w:r>
        <w:rPr>
          <w:lang w:eastAsia="en-GB"/>
        </w:rPr>
        <w:t>If the manual risk is the risk setter then the risk will be reported as MANUAL[Manual Risk Name].</w:t>
      </w:r>
    </w:p>
    <w:p w14:paraId="04FBB850" w14:textId="77777777" w:rsidR="004370B9" w:rsidRDefault="004370B9" w:rsidP="004370B9">
      <w:pPr>
        <w:pStyle w:val="Heading2"/>
      </w:pPr>
      <w:r>
        <w:t>Formulation changes</w:t>
      </w:r>
    </w:p>
    <w:p w14:paraId="738308F6" w14:textId="5BCEF14A" w:rsidR="004370B9" w:rsidRDefault="004370B9" w:rsidP="00AB55D1">
      <w:pPr>
        <w:rPr>
          <w:lang w:eastAsia="en-GB"/>
        </w:rPr>
      </w:pPr>
      <w:r>
        <w:rPr>
          <w:lang w:eastAsia="en-GB"/>
        </w:rPr>
        <w:t>No change, reporting only.</w:t>
      </w:r>
    </w:p>
    <w:p w14:paraId="0B14B04E" w14:textId="7493F04B" w:rsidR="00104277" w:rsidRDefault="00104277" w:rsidP="00104277">
      <w:pPr>
        <w:pStyle w:val="Heading2"/>
      </w:pPr>
      <w:r>
        <w:t>Example case</w:t>
      </w:r>
    </w:p>
    <w:p w14:paraId="06CE2E1E" w14:textId="40E6EF97" w:rsidR="00E742C4" w:rsidRPr="00E742C4" w:rsidRDefault="000B1E13" w:rsidP="00E742C4">
      <w:pPr>
        <w:rPr>
          <w:lang w:eastAsia="en-GB"/>
        </w:rPr>
      </w:pPr>
      <w:r>
        <w:rPr>
          <w:lang w:eastAsia="en-GB"/>
        </w:rPr>
        <w:t xml:space="preserve">See any of the example cases, where SI manual risk is reported as: </w:t>
      </w:r>
      <w:r w:rsidRPr="00BC4F82">
        <w:t>Manual[SIACCEMinRiskMW]</w:t>
      </w:r>
    </w:p>
    <w:p w14:paraId="05906B88" w14:textId="6687AAC1" w:rsidR="006F119E" w:rsidRDefault="006F119E" w:rsidP="007A3D2D">
      <w:pPr>
        <w:pStyle w:val="Heading1"/>
      </w:pPr>
      <w:bookmarkStart w:id="9" w:name="_Hlk184986414"/>
      <w:r>
        <w:t xml:space="preserve">Risk Setter </w:t>
      </w:r>
      <w:r w:rsidR="00210B54">
        <w:t>R</w:t>
      </w:r>
      <w:r>
        <w:t>eporting</w:t>
      </w:r>
      <w:bookmarkEnd w:id="9"/>
    </w:p>
    <w:p w14:paraId="1079FA08" w14:textId="77777777" w:rsidR="006F119E" w:rsidRPr="00257E9F" w:rsidRDefault="006F119E" w:rsidP="00104277">
      <w:pPr>
        <w:pStyle w:val="Heading2"/>
      </w:pPr>
      <w:r>
        <w:t>Overview</w:t>
      </w:r>
    </w:p>
    <w:p w14:paraId="4C4017F0" w14:textId="78D5EA19" w:rsidR="002B3DD8" w:rsidRDefault="000759B0" w:rsidP="003C4054">
      <w:pPr>
        <w:contextualSpacing w:val="0"/>
        <w:rPr>
          <w:lang w:eastAsia="en-GB"/>
        </w:rPr>
      </w:pPr>
      <w:r>
        <w:rPr>
          <w:lang w:eastAsia="en-GB"/>
        </w:rPr>
        <w:t xml:space="preserve">An </w:t>
      </w:r>
      <w:r w:rsidR="002B3DD8">
        <w:rPr>
          <w:lang w:eastAsia="en-GB"/>
        </w:rPr>
        <w:t xml:space="preserve">IG (intermittent generator e.g., wind) is free to not follow dispatch (e.g., follow the wind) unless they are sent a constraint flag. Currently the constraint flag is sent if the SPD result is less than the potential output of the IG. </w:t>
      </w:r>
    </w:p>
    <w:p w14:paraId="7A5B87F2" w14:textId="2E2DBD86" w:rsidR="003C4054" w:rsidRDefault="002B3DD8" w:rsidP="002B3DD8">
      <w:pPr>
        <w:contextualSpacing w:val="0"/>
        <w:rPr>
          <w:lang w:eastAsia="en-GB"/>
        </w:rPr>
      </w:pPr>
      <w:r>
        <w:rPr>
          <w:lang w:eastAsia="en-GB"/>
        </w:rPr>
        <w:t xml:space="preserve">The IG also needs to be sent a constraint flag if they are a risk setter, or if they are in risk group that is a risk setter. To </w:t>
      </w:r>
      <w:r w:rsidR="00C9331F">
        <w:rPr>
          <w:lang w:eastAsia="en-GB"/>
        </w:rPr>
        <w:t>identify this</w:t>
      </w:r>
      <w:r>
        <w:rPr>
          <w:lang w:eastAsia="en-GB"/>
        </w:rPr>
        <w:t xml:space="preserve"> </w:t>
      </w:r>
      <w:r w:rsidR="00FA549B">
        <w:rPr>
          <w:lang w:eastAsia="en-GB"/>
        </w:rPr>
        <w:t xml:space="preserve">situation </w:t>
      </w:r>
      <w:r>
        <w:rPr>
          <w:lang w:eastAsia="en-GB"/>
        </w:rPr>
        <w:t xml:space="preserve">the PnodeID and AC Risk ID are </w:t>
      </w:r>
      <w:r w:rsidR="00FA549B">
        <w:rPr>
          <w:lang w:eastAsia="en-GB"/>
        </w:rPr>
        <w:t xml:space="preserve">being </w:t>
      </w:r>
      <w:r>
        <w:rPr>
          <w:lang w:eastAsia="en-GB"/>
        </w:rPr>
        <w:t>added to the risk setter outputs, along with some other fields that are useful for explaining risk setter results.</w:t>
      </w:r>
    </w:p>
    <w:p w14:paraId="249A1EAE" w14:textId="77777777" w:rsidR="00C328FF" w:rsidRDefault="00C328FF" w:rsidP="00104277">
      <w:pPr>
        <w:pStyle w:val="Heading2"/>
      </w:pPr>
      <w:r>
        <w:t>New SPD Outputs</w:t>
      </w:r>
    </w:p>
    <w:p w14:paraId="4797B9A6" w14:textId="5948BD09" w:rsidR="00C328FF" w:rsidRDefault="00C845F7" w:rsidP="00C328FF">
      <w:r>
        <w:t>Addition</w:t>
      </w:r>
      <w:r w:rsidR="005E72A8">
        <w:t>s</w:t>
      </w:r>
      <w:r>
        <w:t xml:space="preserve"> to output section </w:t>
      </w:r>
      <w:r w:rsidR="00C328FF">
        <w:t>SPDSOLVED.RISKSETTER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9"/>
        <w:gridCol w:w="7527"/>
      </w:tblGrid>
      <w:tr w:rsidR="00C328FF" w:rsidRPr="00CF35A2" w14:paraId="0AAF4E1F" w14:textId="77777777" w:rsidTr="00556C8C">
        <w:tc>
          <w:tcPr>
            <w:tcW w:w="2976" w:type="dxa"/>
            <w:shd w:val="clear" w:color="auto" w:fill="F2F2F2" w:themeFill="background1" w:themeFillShade="F2"/>
          </w:tcPr>
          <w:p w14:paraId="22B9F73D" w14:textId="77777777" w:rsidR="00C328FF" w:rsidRPr="00CF35A2" w:rsidRDefault="00C328FF" w:rsidP="00556C8C">
            <w:pPr>
              <w:rPr>
                <w:sz w:val="20"/>
              </w:rPr>
            </w:pPr>
            <w:r w:rsidRPr="00CF35A2">
              <w:rPr>
                <w:sz w:val="20"/>
              </w:rPr>
              <w:t>Field</w:t>
            </w:r>
          </w:p>
        </w:tc>
        <w:tc>
          <w:tcPr>
            <w:tcW w:w="8218" w:type="dxa"/>
            <w:shd w:val="clear" w:color="auto" w:fill="F2F2F2" w:themeFill="background1" w:themeFillShade="F2"/>
          </w:tcPr>
          <w:p w14:paraId="534EA225" w14:textId="77777777" w:rsidR="00C328FF" w:rsidRPr="00CF35A2" w:rsidRDefault="00C328FF" w:rsidP="00556C8C">
            <w:pPr>
              <w:rPr>
                <w:sz w:val="20"/>
              </w:rPr>
            </w:pPr>
            <w:r w:rsidRPr="00CF35A2">
              <w:rPr>
                <w:sz w:val="20"/>
              </w:rPr>
              <w:t xml:space="preserve">Comments </w:t>
            </w:r>
          </w:p>
        </w:tc>
      </w:tr>
      <w:tr w:rsidR="00C328FF" w:rsidRPr="00CF35A2" w14:paraId="0A67C029" w14:textId="77777777" w:rsidTr="00556C8C">
        <w:tc>
          <w:tcPr>
            <w:tcW w:w="2976" w:type="dxa"/>
          </w:tcPr>
          <w:p w14:paraId="0254A53A" w14:textId="77777777" w:rsidR="00C328FF" w:rsidRPr="00CF35A2" w:rsidRDefault="00C328FF" w:rsidP="00556C8C">
            <w:pPr>
              <w:rPr>
                <w:sz w:val="20"/>
              </w:rPr>
            </w:pPr>
            <w:r w:rsidRPr="00CF35A2">
              <w:rPr>
                <w:sz w:val="20"/>
              </w:rPr>
              <w:t>CASEID</w:t>
            </w:r>
          </w:p>
        </w:tc>
        <w:tc>
          <w:tcPr>
            <w:tcW w:w="8218" w:type="dxa"/>
          </w:tcPr>
          <w:p w14:paraId="04534AC3" w14:textId="77777777" w:rsidR="00C328FF" w:rsidRPr="00CF35A2" w:rsidRDefault="00C328FF" w:rsidP="00556C8C">
            <w:pPr>
              <w:rPr>
                <w:sz w:val="20"/>
              </w:rPr>
            </w:pPr>
          </w:p>
        </w:tc>
      </w:tr>
      <w:tr w:rsidR="00C328FF" w:rsidRPr="00CF35A2" w14:paraId="3D778411" w14:textId="77777777" w:rsidTr="00556C8C">
        <w:tc>
          <w:tcPr>
            <w:tcW w:w="2976" w:type="dxa"/>
          </w:tcPr>
          <w:p w14:paraId="49439A89" w14:textId="77777777" w:rsidR="00C328FF" w:rsidRPr="00CF35A2" w:rsidRDefault="00C328FF" w:rsidP="00556C8C">
            <w:pPr>
              <w:rPr>
                <w:sz w:val="20"/>
              </w:rPr>
            </w:pPr>
            <w:r w:rsidRPr="00CF35A2">
              <w:rPr>
                <w:sz w:val="20"/>
              </w:rPr>
              <w:t>MKTTIME</w:t>
            </w:r>
          </w:p>
        </w:tc>
        <w:tc>
          <w:tcPr>
            <w:tcW w:w="8218" w:type="dxa"/>
          </w:tcPr>
          <w:p w14:paraId="418C4673" w14:textId="77777777" w:rsidR="00C328FF" w:rsidRPr="00CF35A2" w:rsidRDefault="00C328FF" w:rsidP="00556C8C">
            <w:pPr>
              <w:rPr>
                <w:sz w:val="20"/>
              </w:rPr>
            </w:pPr>
          </w:p>
        </w:tc>
      </w:tr>
      <w:tr w:rsidR="00C328FF" w:rsidRPr="00CF35A2" w14:paraId="5F5A1EE7" w14:textId="77777777" w:rsidTr="00556C8C">
        <w:tc>
          <w:tcPr>
            <w:tcW w:w="2976" w:type="dxa"/>
          </w:tcPr>
          <w:p w14:paraId="2D12554C" w14:textId="77777777" w:rsidR="00C328FF" w:rsidRPr="00CF35A2" w:rsidRDefault="00C328FF" w:rsidP="00556C8C">
            <w:pPr>
              <w:rPr>
                <w:sz w:val="20"/>
              </w:rPr>
            </w:pPr>
            <w:r w:rsidRPr="00CF35A2">
              <w:rPr>
                <w:sz w:val="20"/>
              </w:rPr>
              <w:t>ISLANDNAME</w:t>
            </w:r>
          </w:p>
        </w:tc>
        <w:tc>
          <w:tcPr>
            <w:tcW w:w="8218" w:type="dxa"/>
          </w:tcPr>
          <w:p w14:paraId="335F0546" w14:textId="77777777" w:rsidR="00C328FF" w:rsidRPr="00CF35A2" w:rsidRDefault="00C328FF" w:rsidP="00556C8C">
            <w:pPr>
              <w:rPr>
                <w:sz w:val="20"/>
              </w:rPr>
            </w:pPr>
          </w:p>
        </w:tc>
      </w:tr>
      <w:tr w:rsidR="00C328FF" w:rsidRPr="00CF35A2" w14:paraId="7301C399" w14:textId="77777777" w:rsidTr="00556C8C">
        <w:tc>
          <w:tcPr>
            <w:tcW w:w="2976" w:type="dxa"/>
          </w:tcPr>
          <w:p w14:paraId="1F6060E8" w14:textId="77777777" w:rsidR="00C328FF" w:rsidRPr="00CF35A2" w:rsidRDefault="00C328FF" w:rsidP="00556C8C">
            <w:pPr>
              <w:rPr>
                <w:sz w:val="20"/>
              </w:rPr>
            </w:pPr>
            <w:r w:rsidRPr="00CF35A2">
              <w:rPr>
                <w:sz w:val="20"/>
              </w:rPr>
              <w:t>RESERVECLASS</w:t>
            </w:r>
          </w:p>
        </w:tc>
        <w:tc>
          <w:tcPr>
            <w:tcW w:w="8218" w:type="dxa"/>
          </w:tcPr>
          <w:p w14:paraId="4F7267B7" w14:textId="77777777" w:rsidR="00C328FF" w:rsidRPr="00CF35A2" w:rsidRDefault="00C328FF" w:rsidP="00556C8C">
            <w:pPr>
              <w:rPr>
                <w:sz w:val="20"/>
              </w:rPr>
            </w:pPr>
          </w:p>
        </w:tc>
      </w:tr>
      <w:tr w:rsidR="00C328FF" w:rsidRPr="00CF35A2" w14:paraId="0B15F36C" w14:textId="77777777" w:rsidTr="00556C8C">
        <w:tc>
          <w:tcPr>
            <w:tcW w:w="2976" w:type="dxa"/>
          </w:tcPr>
          <w:p w14:paraId="25B9C8E8" w14:textId="77777777" w:rsidR="00C328FF" w:rsidRPr="00CF35A2" w:rsidRDefault="00C328FF" w:rsidP="00556C8C">
            <w:pPr>
              <w:rPr>
                <w:sz w:val="20"/>
              </w:rPr>
            </w:pPr>
            <w:r w:rsidRPr="00CF35A2">
              <w:rPr>
                <w:sz w:val="20"/>
              </w:rPr>
              <w:t>RISKCLASS</w:t>
            </w:r>
          </w:p>
        </w:tc>
        <w:tc>
          <w:tcPr>
            <w:tcW w:w="8218" w:type="dxa"/>
          </w:tcPr>
          <w:p w14:paraId="635D3DBA" w14:textId="77777777" w:rsidR="00C328FF" w:rsidRPr="00CF35A2" w:rsidRDefault="00C328FF" w:rsidP="00556C8C">
            <w:pPr>
              <w:rPr>
                <w:sz w:val="20"/>
              </w:rPr>
            </w:pPr>
          </w:p>
        </w:tc>
      </w:tr>
      <w:tr w:rsidR="00C328FF" w:rsidRPr="00CF35A2" w14:paraId="1BB2CDAE" w14:textId="77777777" w:rsidTr="00556C8C">
        <w:tc>
          <w:tcPr>
            <w:tcW w:w="2976" w:type="dxa"/>
          </w:tcPr>
          <w:p w14:paraId="64282A75" w14:textId="77777777" w:rsidR="00C328FF" w:rsidRPr="00CF35A2" w:rsidRDefault="00C328FF" w:rsidP="00556C8C">
            <w:pPr>
              <w:rPr>
                <w:sz w:val="20"/>
              </w:rPr>
            </w:pPr>
            <w:r w:rsidRPr="00CF35A2">
              <w:rPr>
                <w:sz w:val="20"/>
              </w:rPr>
              <w:t>RISKSETTERID</w:t>
            </w:r>
          </w:p>
        </w:tc>
        <w:tc>
          <w:tcPr>
            <w:tcW w:w="8218" w:type="dxa"/>
          </w:tcPr>
          <w:p w14:paraId="73F1BB7E" w14:textId="77777777" w:rsidR="00C328FF" w:rsidRPr="00CF35A2" w:rsidRDefault="00C328FF" w:rsidP="00556C8C">
            <w:pPr>
              <w:rPr>
                <w:sz w:val="20"/>
              </w:rPr>
            </w:pPr>
          </w:p>
        </w:tc>
      </w:tr>
      <w:tr w:rsidR="00C328FF" w:rsidRPr="00CF35A2" w14:paraId="67254173" w14:textId="77777777" w:rsidTr="00556C8C">
        <w:tc>
          <w:tcPr>
            <w:tcW w:w="2976" w:type="dxa"/>
          </w:tcPr>
          <w:p w14:paraId="35895E42" w14:textId="77777777" w:rsidR="00C328FF" w:rsidRPr="00CF35A2" w:rsidRDefault="00C328FF" w:rsidP="00556C8C">
            <w:pPr>
              <w:rPr>
                <w:sz w:val="20"/>
              </w:rPr>
            </w:pPr>
            <w:r w:rsidRPr="00CF35A2">
              <w:rPr>
                <w:sz w:val="20"/>
              </w:rPr>
              <w:t>RISKTYPE</w:t>
            </w:r>
          </w:p>
        </w:tc>
        <w:tc>
          <w:tcPr>
            <w:tcW w:w="8218" w:type="dxa"/>
          </w:tcPr>
          <w:p w14:paraId="71F1DFD7" w14:textId="77777777" w:rsidR="00C328FF" w:rsidRPr="00CF35A2" w:rsidRDefault="00C328FF" w:rsidP="00556C8C">
            <w:pPr>
              <w:rPr>
                <w:sz w:val="20"/>
              </w:rPr>
            </w:pPr>
          </w:p>
        </w:tc>
      </w:tr>
      <w:tr w:rsidR="00C328FF" w:rsidRPr="00CF35A2" w14:paraId="031236AA" w14:textId="77777777" w:rsidTr="00556C8C">
        <w:tc>
          <w:tcPr>
            <w:tcW w:w="2976" w:type="dxa"/>
          </w:tcPr>
          <w:p w14:paraId="1B4CCCD8" w14:textId="77777777" w:rsidR="00C328FF" w:rsidRPr="00CF35A2" w:rsidRDefault="00C328FF" w:rsidP="00556C8C">
            <w:pPr>
              <w:rPr>
                <w:sz w:val="20"/>
              </w:rPr>
            </w:pPr>
            <w:r w:rsidRPr="00CF35A2">
              <w:rPr>
                <w:sz w:val="20"/>
              </w:rPr>
              <w:t>COVEREDENERGY</w:t>
            </w:r>
          </w:p>
        </w:tc>
        <w:tc>
          <w:tcPr>
            <w:tcW w:w="8218" w:type="dxa"/>
          </w:tcPr>
          <w:p w14:paraId="6C5B3BCE" w14:textId="77777777" w:rsidR="00C328FF" w:rsidRPr="00CF35A2" w:rsidRDefault="00C328FF" w:rsidP="00556C8C">
            <w:pPr>
              <w:rPr>
                <w:sz w:val="20"/>
              </w:rPr>
            </w:pPr>
          </w:p>
        </w:tc>
      </w:tr>
      <w:tr w:rsidR="00C328FF" w:rsidRPr="00CF35A2" w14:paraId="66035380" w14:textId="77777777" w:rsidTr="00556C8C">
        <w:tc>
          <w:tcPr>
            <w:tcW w:w="2976" w:type="dxa"/>
          </w:tcPr>
          <w:p w14:paraId="6CC7CFBA" w14:textId="77777777" w:rsidR="00C328FF" w:rsidRPr="00CF35A2" w:rsidRDefault="00C328FF" w:rsidP="00556C8C">
            <w:pPr>
              <w:rPr>
                <w:sz w:val="20"/>
              </w:rPr>
            </w:pPr>
            <w:r w:rsidRPr="00CF35A2">
              <w:rPr>
                <w:sz w:val="20"/>
              </w:rPr>
              <w:t>COVEREDRESERVE</w:t>
            </w:r>
          </w:p>
        </w:tc>
        <w:tc>
          <w:tcPr>
            <w:tcW w:w="8218" w:type="dxa"/>
          </w:tcPr>
          <w:p w14:paraId="487906B6" w14:textId="77777777" w:rsidR="00C328FF" w:rsidRPr="00CF35A2" w:rsidRDefault="00C328FF" w:rsidP="00556C8C">
            <w:pPr>
              <w:rPr>
                <w:sz w:val="20"/>
              </w:rPr>
            </w:pPr>
          </w:p>
        </w:tc>
      </w:tr>
      <w:tr w:rsidR="00C328FF" w:rsidRPr="00CF35A2" w14:paraId="1A235865" w14:textId="77777777" w:rsidTr="00556C8C">
        <w:tc>
          <w:tcPr>
            <w:tcW w:w="2976" w:type="dxa"/>
          </w:tcPr>
          <w:p w14:paraId="28A7381B" w14:textId="77777777" w:rsidR="00C328FF" w:rsidRPr="00CF35A2" w:rsidRDefault="00C328FF" w:rsidP="00556C8C">
            <w:pPr>
              <w:rPr>
                <w:sz w:val="20"/>
              </w:rPr>
            </w:pPr>
            <w:r w:rsidRPr="00CF35A2">
              <w:rPr>
                <w:sz w:val="20"/>
              </w:rPr>
              <w:t>COVEREDMODULATION</w:t>
            </w:r>
          </w:p>
        </w:tc>
        <w:tc>
          <w:tcPr>
            <w:tcW w:w="8218" w:type="dxa"/>
          </w:tcPr>
          <w:p w14:paraId="32203F26" w14:textId="77777777" w:rsidR="00C328FF" w:rsidRPr="00CF35A2" w:rsidRDefault="00C328FF" w:rsidP="00556C8C">
            <w:pPr>
              <w:rPr>
                <w:sz w:val="20"/>
              </w:rPr>
            </w:pPr>
          </w:p>
        </w:tc>
      </w:tr>
      <w:tr w:rsidR="00C328FF" w:rsidRPr="00CF35A2" w14:paraId="21C5409A" w14:textId="77777777" w:rsidTr="00556C8C">
        <w:tc>
          <w:tcPr>
            <w:tcW w:w="2976" w:type="dxa"/>
          </w:tcPr>
          <w:p w14:paraId="5902C806" w14:textId="77777777" w:rsidR="00C328FF" w:rsidRPr="00CF35A2" w:rsidRDefault="00C328FF" w:rsidP="00556C8C">
            <w:pPr>
              <w:rPr>
                <w:sz w:val="20"/>
              </w:rPr>
            </w:pPr>
            <w:r w:rsidRPr="00CF35A2">
              <w:rPr>
                <w:sz w:val="20"/>
              </w:rPr>
              <w:t>SUBTRACTOR</w:t>
            </w:r>
          </w:p>
        </w:tc>
        <w:tc>
          <w:tcPr>
            <w:tcW w:w="8218" w:type="dxa"/>
          </w:tcPr>
          <w:p w14:paraId="5AC063E5" w14:textId="77777777" w:rsidR="00C328FF" w:rsidRPr="00CF35A2" w:rsidRDefault="00C328FF" w:rsidP="00556C8C">
            <w:pPr>
              <w:rPr>
                <w:sz w:val="20"/>
              </w:rPr>
            </w:pPr>
          </w:p>
        </w:tc>
      </w:tr>
      <w:tr w:rsidR="00C328FF" w:rsidRPr="00CF35A2" w14:paraId="2FD4F87D" w14:textId="77777777" w:rsidTr="00556C8C">
        <w:tc>
          <w:tcPr>
            <w:tcW w:w="2976" w:type="dxa"/>
          </w:tcPr>
          <w:p w14:paraId="274C29D1" w14:textId="77777777" w:rsidR="00C328FF" w:rsidRPr="00CF35A2" w:rsidRDefault="00C328FF" w:rsidP="00556C8C">
            <w:pPr>
              <w:rPr>
                <w:sz w:val="20"/>
              </w:rPr>
            </w:pPr>
            <w:r w:rsidRPr="00CF35A2">
              <w:rPr>
                <w:sz w:val="20"/>
              </w:rPr>
              <w:t>RESERVE</w:t>
            </w:r>
          </w:p>
        </w:tc>
        <w:tc>
          <w:tcPr>
            <w:tcW w:w="8218" w:type="dxa"/>
          </w:tcPr>
          <w:p w14:paraId="2FECF08C" w14:textId="77777777" w:rsidR="00C328FF" w:rsidRPr="00CF35A2" w:rsidRDefault="00C328FF" w:rsidP="00556C8C">
            <w:pPr>
              <w:rPr>
                <w:sz w:val="20"/>
              </w:rPr>
            </w:pPr>
          </w:p>
        </w:tc>
      </w:tr>
      <w:tr w:rsidR="00C328FF" w:rsidRPr="00CF35A2" w14:paraId="5AF41A0B" w14:textId="77777777" w:rsidTr="00556C8C">
        <w:tc>
          <w:tcPr>
            <w:tcW w:w="2976" w:type="dxa"/>
          </w:tcPr>
          <w:p w14:paraId="184D8DC8" w14:textId="77777777" w:rsidR="00C328FF" w:rsidRPr="00CF35A2" w:rsidRDefault="00C328FF" w:rsidP="00556C8C">
            <w:pPr>
              <w:rPr>
                <w:sz w:val="20"/>
              </w:rPr>
            </w:pPr>
            <w:r w:rsidRPr="00CF35A2">
              <w:rPr>
                <w:sz w:val="20"/>
              </w:rPr>
              <w:t>SHORTFALL</w:t>
            </w:r>
          </w:p>
        </w:tc>
        <w:tc>
          <w:tcPr>
            <w:tcW w:w="8218" w:type="dxa"/>
          </w:tcPr>
          <w:p w14:paraId="7244F83C" w14:textId="77777777" w:rsidR="00C328FF" w:rsidRPr="00CF35A2" w:rsidRDefault="00C328FF" w:rsidP="00556C8C">
            <w:pPr>
              <w:rPr>
                <w:sz w:val="20"/>
              </w:rPr>
            </w:pPr>
          </w:p>
        </w:tc>
      </w:tr>
      <w:tr w:rsidR="00C328FF" w:rsidRPr="00CF35A2" w14:paraId="1080FE72" w14:textId="77777777" w:rsidTr="00556C8C">
        <w:tc>
          <w:tcPr>
            <w:tcW w:w="2976" w:type="dxa"/>
          </w:tcPr>
          <w:p w14:paraId="619808C3" w14:textId="77777777" w:rsidR="00C328FF" w:rsidRPr="00CF35A2" w:rsidRDefault="00C328FF" w:rsidP="00556C8C">
            <w:pPr>
              <w:rPr>
                <w:sz w:val="20"/>
              </w:rPr>
            </w:pPr>
            <w:r w:rsidRPr="00CF35A2">
              <w:rPr>
                <w:sz w:val="20"/>
              </w:rPr>
              <w:t>DEFICIT</w:t>
            </w:r>
          </w:p>
        </w:tc>
        <w:tc>
          <w:tcPr>
            <w:tcW w:w="8218" w:type="dxa"/>
          </w:tcPr>
          <w:p w14:paraId="209508D8" w14:textId="77777777" w:rsidR="00C328FF" w:rsidRPr="00CF35A2" w:rsidRDefault="00C328FF" w:rsidP="00556C8C">
            <w:pPr>
              <w:rPr>
                <w:sz w:val="20"/>
              </w:rPr>
            </w:pPr>
          </w:p>
        </w:tc>
      </w:tr>
      <w:tr w:rsidR="00C328FF" w:rsidRPr="00CF35A2" w14:paraId="0C4FF97F" w14:textId="77777777" w:rsidTr="00556C8C">
        <w:tc>
          <w:tcPr>
            <w:tcW w:w="2976" w:type="dxa"/>
          </w:tcPr>
          <w:p w14:paraId="3FAE02D4" w14:textId="77777777" w:rsidR="00C328FF" w:rsidRPr="00CF35A2" w:rsidRDefault="00C328FF" w:rsidP="00556C8C">
            <w:pPr>
              <w:rPr>
                <w:sz w:val="20"/>
              </w:rPr>
            </w:pPr>
            <w:r w:rsidRPr="00CF35A2">
              <w:rPr>
                <w:sz w:val="20"/>
              </w:rPr>
              <w:t>RESERVEPRICE</w:t>
            </w:r>
          </w:p>
        </w:tc>
        <w:tc>
          <w:tcPr>
            <w:tcW w:w="8218" w:type="dxa"/>
          </w:tcPr>
          <w:p w14:paraId="11AF4753" w14:textId="77777777" w:rsidR="00C328FF" w:rsidRPr="00CF35A2" w:rsidRDefault="00C328FF" w:rsidP="00556C8C">
            <w:pPr>
              <w:rPr>
                <w:sz w:val="20"/>
              </w:rPr>
            </w:pPr>
          </w:p>
        </w:tc>
      </w:tr>
      <w:tr w:rsidR="00C328FF" w:rsidRPr="00CF35A2" w14:paraId="1F171A4C" w14:textId="77777777" w:rsidTr="00556C8C">
        <w:tc>
          <w:tcPr>
            <w:tcW w:w="2976" w:type="dxa"/>
          </w:tcPr>
          <w:p w14:paraId="73233568" w14:textId="77777777" w:rsidR="00C328FF" w:rsidRPr="00CF35A2" w:rsidRDefault="00C328FF" w:rsidP="00556C8C">
            <w:pPr>
              <w:rPr>
                <w:sz w:val="20"/>
                <w:highlight w:val="green"/>
              </w:rPr>
            </w:pPr>
            <w:r w:rsidRPr="00CF35A2">
              <w:rPr>
                <w:sz w:val="20"/>
                <w:highlight w:val="green"/>
              </w:rPr>
              <w:t>PNODEID</w:t>
            </w:r>
          </w:p>
        </w:tc>
        <w:tc>
          <w:tcPr>
            <w:tcW w:w="8218" w:type="dxa"/>
          </w:tcPr>
          <w:p w14:paraId="28C4C06F" w14:textId="77777777" w:rsidR="00C328FF" w:rsidRPr="00CF35A2" w:rsidRDefault="00C328FF" w:rsidP="00556C8C">
            <w:pPr>
              <w:rPr>
                <w:sz w:val="20"/>
              </w:rPr>
            </w:pPr>
            <w:r w:rsidRPr="00CF35A2">
              <w:rPr>
                <w:sz w:val="20"/>
              </w:rPr>
              <w:t>PnodeID of unit risk setter</w:t>
            </w:r>
          </w:p>
        </w:tc>
      </w:tr>
      <w:tr w:rsidR="00C328FF" w:rsidRPr="00CF35A2" w14:paraId="54829CC5" w14:textId="77777777" w:rsidTr="00556C8C">
        <w:tc>
          <w:tcPr>
            <w:tcW w:w="2976" w:type="dxa"/>
          </w:tcPr>
          <w:p w14:paraId="5458A362" w14:textId="77777777" w:rsidR="00C328FF" w:rsidRPr="00CF35A2" w:rsidRDefault="00C328FF" w:rsidP="00556C8C">
            <w:pPr>
              <w:rPr>
                <w:sz w:val="20"/>
                <w:highlight w:val="green"/>
              </w:rPr>
            </w:pPr>
            <w:r w:rsidRPr="00CF35A2">
              <w:rPr>
                <w:sz w:val="20"/>
                <w:highlight w:val="green"/>
              </w:rPr>
              <w:t>ACRISKID</w:t>
            </w:r>
          </w:p>
        </w:tc>
        <w:tc>
          <w:tcPr>
            <w:tcW w:w="8218" w:type="dxa"/>
          </w:tcPr>
          <w:p w14:paraId="6780D545" w14:textId="77777777" w:rsidR="00C328FF" w:rsidRPr="00CF35A2" w:rsidRDefault="00C328FF" w:rsidP="00556C8C">
            <w:pPr>
              <w:rPr>
                <w:sz w:val="20"/>
              </w:rPr>
            </w:pPr>
            <w:r w:rsidRPr="00CF35A2">
              <w:rPr>
                <w:sz w:val="20"/>
              </w:rPr>
              <w:t>ACRiskID of risk group risk setter</w:t>
            </w:r>
          </w:p>
        </w:tc>
      </w:tr>
      <w:tr w:rsidR="00C328FF" w:rsidRPr="00CF35A2" w14:paraId="7F28C287" w14:textId="77777777" w:rsidTr="00556C8C">
        <w:tc>
          <w:tcPr>
            <w:tcW w:w="2976" w:type="dxa"/>
          </w:tcPr>
          <w:p w14:paraId="31C51034" w14:textId="77777777" w:rsidR="00C328FF" w:rsidRPr="00CF35A2" w:rsidRDefault="00C328FF" w:rsidP="00556C8C">
            <w:pPr>
              <w:rPr>
                <w:sz w:val="20"/>
                <w:highlight w:val="green"/>
              </w:rPr>
            </w:pPr>
            <w:r w:rsidRPr="00CF35A2">
              <w:rPr>
                <w:sz w:val="20"/>
                <w:highlight w:val="green"/>
              </w:rPr>
              <w:t>COMMRISKMW</w:t>
            </w:r>
          </w:p>
        </w:tc>
        <w:tc>
          <w:tcPr>
            <w:tcW w:w="8218" w:type="dxa"/>
          </w:tcPr>
          <w:p w14:paraId="700B5E2C" w14:textId="77777777" w:rsidR="00C328FF" w:rsidRPr="00CF35A2" w:rsidRDefault="00C328FF" w:rsidP="00556C8C">
            <w:pPr>
              <w:rPr>
                <w:sz w:val="20"/>
              </w:rPr>
            </w:pPr>
            <w:r w:rsidRPr="00CF35A2">
              <w:rPr>
                <w:sz w:val="20"/>
              </w:rPr>
              <w:t>Commissioning Risk on the risk setter</w:t>
            </w:r>
          </w:p>
        </w:tc>
      </w:tr>
      <w:tr w:rsidR="00C328FF" w:rsidRPr="00CF35A2" w14:paraId="55B1E80F" w14:textId="77777777" w:rsidTr="00556C8C">
        <w:tc>
          <w:tcPr>
            <w:tcW w:w="2976" w:type="dxa"/>
          </w:tcPr>
          <w:p w14:paraId="59BBC1AF" w14:textId="77777777" w:rsidR="00C328FF" w:rsidRPr="00CF35A2" w:rsidRDefault="00C328FF" w:rsidP="00556C8C">
            <w:pPr>
              <w:rPr>
                <w:sz w:val="20"/>
                <w:highlight w:val="green"/>
              </w:rPr>
            </w:pPr>
            <w:r w:rsidRPr="00CF35A2">
              <w:rPr>
                <w:sz w:val="20"/>
                <w:highlight w:val="green"/>
              </w:rPr>
              <w:t>RMTNFR</w:t>
            </w:r>
          </w:p>
        </w:tc>
        <w:tc>
          <w:tcPr>
            <w:tcW w:w="8218" w:type="dxa"/>
          </w:tcPr>
          <w:p w14:paraId="13022E2B" w14:textId="77777777" w:rsidR="00C328FF" w:rsidRPr="00CF35A2" w:rsidRDefault="00C328FF" w:rsidP="00556C8C">
            <w:pPr>
              <w:rPr>
                <w:sz w:val="20"/>
              </w:rPr>
            </w:pPr>
            <w:r w:rsidRPr="00CF35A2">
              <w:rPr>
                <w:sz w:val="20"/>
              </w:rPr>
              <w:t>Component of the subtractor that is AC NFR or DC NFR as supplied by RMT</w:t>
            </w:r>
          </w:p>
        </w:tc>
      </w:tr>
      <w:tr w:rsidR="00C328FF" w:rsidRPr="00CF35A2" w14:paraId="71FF3E2A" w14:textId="77777777" w:rsidTr="00556C8C">
        <w:tc>
          <w:tcPr>
            <w:tcW w:w="2976" w:type="dxa"/>
          </w:tcPr>
          <w:p w14:paraId="25206962" w14:textId="77777777" w:rsidR="00C328FF" w:rsidRPr="00CF35A2" w:rsidRDefault="00C328FF" w:rsidP="00556C8C">
            <w:pPr>
              <w:rPr>
                <w:sz w:val="20"/>
                <w:highlight w:val="green"/>
              </w:rPr>
            </w:pPr>
            <w:r w:rsidRPr="00CF35A2">
              <w:rPr>
                <w:sz w:val="20"/>
                <w:highlight w:val="green"/>
              </w:rPr>
              <w:t>ACINERTIA</w:t>
            </w:r>
          </w:p>
        </w:tc>
        <w:tc>
          <w:tcPr>
            <w:tcW w:w="8218" w:type="dxa"/>
          </w:tcPr>
          <w:p w14:paraId="67779796" w14:textId="77777777" w:rsidR="00C328FF" w:rsidRPr="00CF35A2" w:rsidRDefault="00C328FF" w:rsidP="00556C8C">
            <w:pPr>
              <w:rPr>
                <w:sz w:val="20"/>
              </w:rPr>
            </w:pPr>
            <w:r w:rsidRPr="00CF35A2">
              <w:rPr>
                <w:sz w:val="20"/>
              </w:rPr>
              <w:t>Component of the subtractor that adjusts the AC NFR based on inertia</w:t>
            </w:r>
          </w:p>
        </w:tc>
      </w:tr>
      <w:tr w:rsidR="00C328FF" w:rsidRPr="00CF35A2" w14:paraId="79389868" w14:textId="77777777" w:rsidTr="00556C8C">
        <w:tc>
          <w:tcPr>
            <w:tcW w:w="2976" w:type="dxa"/>
          </w:tcPr>
          <w:p w14:paraId="6800C7F1" w14:textId="77777777" w:rsidR="00C328FF" w:rsidRPr="00CF35A2" w:rsidRDefault="00C328FF" w:rsidP="00556C8C">
            <w:pPr>
              <w:rPr>
                <w:sz w:val="20"/>
                <w:highlight w:val="green"/>
              </w:rPr>
            </w:pPr>
            <w:r w:rsidRPr="00CF35A2">
              <w:rPr>
                <w:sz w:val="20"/>
                <w:highlight w:val="green"/>
              </w:rPr>
              <w:t>DCSUBTRACTOR</w:t>
            </w:r>
          </w:p>
        </w:tc>
        <w:tc>
          <w:tcPr>
            <w:tcW w:w="8218" w:type="dxa"/>
          </w:tcPr>
          <w:p w14:paraId="01035DF8" w14:textId="77777777" w:rsidR="00C328FF" w:rsidRPr="00CF35A2" w:rsidRDefault="00C328FF" w:rsidP="00556C8C">
            <w:pPr>
              <w:rPr>
                <w:sz w:val="20"/>
              </w:rPr>
            </w:pPr>
            <w:r w:rsidRPr="00CF35A2">
              <w:rPr>
                <w:sz w:val="20"/>
              </w:rPr>
              <w:t>Component of the subtractor that is DC ramp up or secondary risk subtractor</w:t>
            </w:r>
          </w:p>
        </w:tc>
      </w:tr>
      <w:tr w:rsidR="00C328FF" w:rsidRPr="00CF35A2" w14:paraId="2B26E216" w14:textId="77777777" w:rsidTr="00556C8C">
        <w:tc>
          <w:tcPr>
            <w:tcW w:w="2976" w:type="dxa"/>
          </w:tcPr>
          <w:p w14:paraId="0B3BB929" w14:textId="77777777" w:rsidR="00C328FF" w:rsidRPr="00CF35A2" w:rsidRDefault="00C328FF" w:rsidP="00556C8C">
            <w:pPr>
              <w:rPr>
                <w:sz w:val="20"/>
                <w:highlight w:val="green"/>
              </w:rPr>
            </w:pPr>
            <w:r w:rsidRPr="00CF35A2">
              <w:rPr>
                <w:sz w:val="20"/>
                <w:highlight w:val="green"/>
              </w:rPr>
              <w:t>ISLANDRESERVE</w:t>
            </w:r>
          </w:p>
        </w:tc>
        <w:tc>
          <w:tcPr>
            <w:tcW w:w="8218" w:type="dxa"/>
          </w:tcPr>
          <w:p w14:paraId="0D3AFDCA" w14:textId="77777777" w:rsidR="00C328FF" w:rsidRPr="00CF35A2" w:rsidRDefault="00C328FF" w:rsidP="00556C8C">
            <w:pPr>
              <w:rPr>
                <w:sz w:val="20"/>
              </w:rPr>
            </w:pPr>
            <w:r w:rsidRPr="00CF35A2">
              <w:rPr>
                <w:sz w:val="20"/>
              </w:rPr>
              <w:t>Component of the reserve that is cleared within the island</w:t>
            </w:r>
          </w:p>
        </w:tc>
      </w:tr>
      <w:tr w:rsidR="00C328FF" w:rsidRPr="00CF35A2" w14:paraId="109C7582" w14:textId="77777777" w:rsidTr="004402D8">
        <w:trPr>
          <w:trHeight w:val="282"/>
        </w:trPr>
        <w:tc>
          <w:tcPr>
            <w:tcW w:w="2976" w:type="dxa"/>
          </w:tcPr>
          <w:p w14:paraId="0DBC2636" w14:textId="77777777" w:rsidR="00C328FF" w:rsidRPr="00CF35A2" w:rsidRDefault="00C328FF" w:rsidP="00556C8C">
            <w:pPr>
              <w:rPr>
                <w:sz w:val="20"/>
                <w:highlight w:val="green"/>
              </w:rPr>
            </w:pPr>
            <w:r w:rsidRPr="00CF35A2">
              <w:rPr>
                <w:sz w:val="20"/>
                <w:highlight w:val="green"/>
              </w:rPr>
              <w:lastRenderedPageBreak/>
              <w:t>SHAREDRESERVE</w:t>
            </w:r>
          </w:p>
        </w:tc>
        <w:tc>
          <w:tcPr>
            <w:tcW w:w="8218" w:type="dxa"/>
          </w:tcPr>
          <w:p w14:paraId="06128C49" w14:textId="77777777" w:rsidR="00C328FF" w:rsidRPr="00CF35A2" w:rsidRDefault="00C328FF" w:rsidP="00556C8C">
            <w:pPr>
              <w:rPr>
                <w:sz w:val="20"/>
              </w:rPr>
            </w:pPr>
            <w:r w:rsidRPr="00CF35A2">
              <w:rPr>
                <w:sz w:val="20"/>
              </w:rPr>
              <w:t>Component of the reserve that is received as reserve shared from the other island</w:t>
            </w:r>
          </w:p>
        </w:tc>
      </w:tr>
    </w:tbl>
    <w:bookmarkEnd w:id="0"/>
    <w:p w14:paraId="0510460F" w14:textId="77777777" w:rsidR="004370B9" w:rsidRDefault="004370B9" w:rsidP="00104277">
      <w:pPr>
        <w:pStyle w:val="Heading2"/>
      </w:pPr>
      <w:r>
        <w:t>Formulation changes</w:t>
      </w:r>
    </w:p>
    <w:p w14:paraId="5C5C6EEF" w14:textId="77777777" w:rsidR="004370B9" w:rsidRDefault="004370B9" w:rsidP="004370B9">
      <w:pPr>
        <w:rPr>
          <w:lang w:eastAsia="en-GB"/>
        </w:rPr>
      </w:pPr>
      <w:r>
        <w:rPr>
          <w:lang w:eastAsia="en-GB"/>
        </w:rPr>
        <w:t>No change, reporting only.</w:t>
      </w:r>
    </w:p>
    <w:p w14:paraId="5FB0D114" w14:textId="77777777" w:rsidR="00424C24" w:rsidRDefault="00424C24" w:rsidP="00424C24">
      <w:pPr>
        <w:pStyle w:val="Heading2"/>
      </w:pPr>
      <w:r>
        <w:t>Example case</w:t>
      </w:r>
    </w:p>
    <w:p w14:paraId="03879FF6" w14:textId="569BF1AA" w:rsidR="004370B9" w:rsidRPr="003C4054" w:rsidRDefault="000B1E13" w:rsidP="003C4054">
      <w:pPr>
        <w:rPr>
          <w:lang w:eastAsia="en-GB"/>
        </w:rPr>
      </w:pPr>
      <w:r>
        <w:rPr>
          <w:lang w:eastAsia="en-GB"/>
        </w:rPr>
        <w:t>Risk setter reporting is in every results file.</w:t>
      </w:r>
    </w:p>
    <w:sectPr w:rsidR="004370B9" w:rsidRPr="003C4054" w:rsidSect="005C443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83DE8A" w14:textId="77777777" w:rsidR="00770F4E" w:rsidRDefault="00770F4E" w:rsidP="003069F1">
      <w:pPr>
        <w:spacing w:before="0" w:after="0"/>
      </w:pPr>
      <w:r>
        <w:separator/>
      </w:r>
    </w:p>
  </w:endnote>
  <w:endnote w:type="continuationSeparator" w:id="0">
    <w:p w14:paraId="6E1EFA8D" w14:textId="77777777" w:rsidR="00770F4E" w:rsidRDefault="00770F4E" w:rsidP="003069F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86835" w14:textId="77777777" w:rsidR="00672572" w:rsidRDefault="006725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8FECB" w14:textId="0E831446" w:rsidR="00DE6AE3" w:rsidRDefault="00DE6AE3">
    <w:pPr>
      <w:pStyle w:val="Footer"/>
      <w:jc w:val="right"/>
    </w:pPr>
    <w:r>
      <w:t xml:space="preserve">page </w:t>
    </w:r>
    <w:sdt>
      <w:sdtPr>
        <w:id w:val="56892729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sdtContent>
    </w:sdt>
  </w:p>
  <w:p w14:paraId="5BFB02CF" w14:textId="77777777" w:rsidR="00DE6AE3" w:rsidRDefault="00DE6A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55B82F" w14:textId="77777777" w:rsidR="00672572" w:rsidRDefault="006725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52EF4" w14:textId="77777777" w:rsidR="00770F4E" w:rsidRDefault="00770F4E" w:rsidP="003069F1">
      <w:pPr>
        <w:spacing w:before="0" w:after="0"/>
      </w:pPr>
      <w:r>
        <w:separator/>
      </w:r>
    </w:p>
  </w:footnote>
  <w:footnote w:type="continuationSeparator" w:id="0">
    <w:p w14:paraId="3731B0B5" w14:textId="77777777" w:rsidR="00770F4E" w:rsidRDefault="00770F4E" w:rsidP="003069F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AFA24" w14:textId="77777777" w:rsidR="00672572" w:rsidRDefault="006725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17A248" w14:textId="77777777" w:rsidR="00672572" w:rsidRDefault="006725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0DAE0C" w14:textId="77777777" w:rsidR="00672572" w:rsidRDefault="006725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EDCADBE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06A109D1"/>
    <w:multiLevelType w:val="hybridMultilevel"/>
    <w:tmpl w:val="0C36E4B0"/>
    <w:lvl w:ilvl="0" w:tplc="A8B0DB28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F69BF"/>
    <w:multiLevelType w:val="multilevel"/>
    <w:tmpl w:val="2D187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3C1176"/>
    <w:multiLevelType w:val="hybridMultilevel"/>
    <w:tmpl w:val="82A8DDD4"/>
    <w:lvl w:ilvl="0" w:tplc="9724E868">
      <w:start w:val="4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57320"/>
    <w:multiLevelType w:val="hybridMultilevel"/>
    <w:tmpl w:val="CA243C82"/>
    <w:lvl w:ilvl="0" w:tplc="E9C6D4F8">
      <w:start w:val="1"/>
      <w:numFmt w:val="lowerLetter"/>
      <w:pStyle w:val="anoindent"/>
      <w:lvlText w:val="%1)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lowerLetter"/>
      <w:lvlText w:val="%2."/>
      <w:lvlJc w:val="left"/>
      <w:pPr>
        <w:ind w:left="1440" w:hanging="360"/>
      </w:pPr>
    </w:lvl>
    <w:lvl w:ilvl="2" w:tplc="14090005" w:tentative="1">
      <w:start w:val="1"/>
      <w:numFmt w:val="lowerRoman"/>
      <w:lvlText w:val="%3."/>
      <w:lvlJc w:val="right"/>
      <w:pPr>
        <w:ind w:left="2160" w:hanging="180"/>
      </w:pPr>
    </w:lvl>
    <w:lvl w:ilvl="3" w:tplc="14090001" w:tentative="1">
      <w:start w:val="1"/>
      <w:numFmt w:val="decimal"/>
      <w:lvlText w:val="%4."/>
      <w:lvlJc w:val="left"/>
      <w:pPr>
        <w:ind w:left="2880" w:hanging="360"/>
      </w:pPr>
    </w:lvl>
    <w:lvl w:ilvl="4" w:tplc="14090003" w:tentative="1">
      <w:start w:val="1"/>
      <w:numFmt w:val="lowerLetter"/>
      <w:lvlText w:val="%5."/>
      <w:lvlJc w:val="left"/>
      <w:pPr>
        <w:ind w:left="3600" w:hanging="360"/>
      </w:pPr>
    </w:lvl>
    <w:lvl w:ilvl="5" w:tplc="14090005" w:tentative="1">
      <w:start w:val="1"/>
      <w:numFmt w:val="lowerRoman"/>
      <w:lvlText w:val="%6."/>
      <w:lvlJc w:val="right"/>
      <w:pPr>
        <w:ind w:left="4320" w:hanging="180"/>
      </w:pPr>
    </w:lvl>
    <w:lvl w:ilvl="6" w:tplc="14090001" w:tentative="1">
      <w:start w:val="1"/>
      <w:numFmt w:val="decimal"/>
      <w:lvlText w:val="%7."/>
      <w:lvlJc w:val="left"/>
      <w:pPr>
        <w:ind w:left="5040" w:hanging="360"/>
      </w:pPr>
    </w:lvl>
    <w:lvl w:ilvl="7" w:tplc="14090003" w:tentative="1">
      <w:start w:val="1"/>
      <w:numFmt w:val="lowerLetter"/>
      <w:lvlText w:val="%8."/>
      <w:lvlJc w:val="left"/>
      <w:pPr>
        <w:ind w:left="5760" w:hanging="360"/>
      </w:pPr>
    </w:lvl>
    <w:lvl w:ilvl="8" w:tplc="1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82596"/>
    <w:multiLevelType w:val="multilevel"/>
    <w:tmpl w:val="6F6C006A"/>
    <w:lvl w:ilvl="0">
      <w:start w:val="1"/>
      <w:numFmt w:val="decimal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504" w:hanging="50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asciiTheme="minorHAnsi" w:hAnsiTheme="minorHAnsi" w:cstheme="minorHAnsi"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6" w15:restartNumberingAfterBreak="0">
    <w:nsid w:val="15894C28"/>
    <w:multiLevelType w:val="hybridMultilevel"/>
    <w:tmpl w:val="2AD457BC"/>
    <w:lvl w:ilvl="0" w:tplc="C4A440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3B3B45"/>
    <w:multiLevelType w:val="hybridMultilevel"/>
    <w:tmpl w:val="145A3CE4"/>
    <w:lvl w:ilvl="0" w:tplc="29D66536">
      <w:start w:val="1"/>
      <w:numFmt w:val="decimal"/>
      <w:pStyle w:val="Appendix"/>
      <w:lvlText w:val="Appendix %1: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B038C"/>
    <w:multiLevelType w:val="hybridMultilevel"/>
    <w:tmpl w:val="97D67AB0"/>
    <w:lvl w:ilvl="0" w:tplc="651C72BE">
      <w:start w:val="1"/>
      <w:numFmt w:val="decimal"/>
      <w:pStyle w:val="MyAppendix"/>
      <w:lvlText w:val="Appendix %1: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E0058"/>
    <w:multiLevelType w:val="hybridMultilevel"/>
    <w:tmpl w:val="C2B6770C"/>
    <w:lvl w:ilvl="0" w:tplc="C4A440AA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EF6631"/>
    <w:multiLevelType w:val="hybridMultilevel"/>
    <w:tmpl w:val="1870E02A"/>
    <w:lvl w:ilvl="0" w:tplc="2E98CABC">
      <w:start w:val="1"/>
      <w:numFmt w:val="decimal"/>
      <w:lvlText w:val="Appendix %1: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EC1803"/>
    <w:multiLevelType w:val="multilevel"/>
    <w:tmpl w:val="BD921B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3A80316"/>
    <w:multiLevelType w:val="multilevel"/>
    <w:tmpl w:val="53EE53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E4746C"/>
    <w:multiLevelType w:val="hybridMultilevel"/>
    <w:tmpl w:val="3B8A77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10DF6"/>
    <w:multiLevelType w:val="hybridMultilevel"/>
    <w:tmpl w:val="3710E31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0D6D7F"/>
    <w:multiLevelType w:val="hybridMultilevel"/>
    <w:tmpl w:val="A0623D1A"/>
    <w:lvl w:ilvl="0" w:tplc="7F18574C">
      <w:start w:val="1"/>
      <w:numFmt w:val="decimal"/>
      <w:pStyle w:val="noindent"/>
      <w:lvlText w:val="%1)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lowerLetter"/>
      <w:lvlText w:val="%2."/>
      <w:lvlJc w:val="left"/>
      <w:pPr>
        <w:ind w:left="1440" w:hanging="360"/>
      </w:pPr>
    </w:lvl>
    <w:lvl w:ilvl="2" w:tplc="14090005" w:tentative="1">
      <w:start w:val="1"/>
      <w:numFmt w:val="lowerRoman"/>
      <w:lvlText w:val="%3."/>
      <w:lvlJc w:val="right"/>
      <w:pPr>
        <w:ind w:left="2160" w:hanging="180"/>
      </w:pPr>
    </w:lvl>
    <w:lvl w:ilvl="3" w:tplc="14090001" w:tentative="1">
      <w:start w:val="1"/>
      <w:numFmt w:val="decimal"/>
      <w:lvlText w:val="%4."/>
      <w:lvlJc w:val="left"/>
      <w:pPr>
        <w:ind w:left="2880" w:hanging="360"/>
      </w:pPr>
    </w:lvl>
    <w:lvl w:ilvl="4" w:tplc="14090003" w:tentative="1">
      <w:start w:val="1"/>
      <w:numFmt w:val="lowerLetter"/>
      <w:lvlText w:val="%5."/>
      <w:lvlJc w:val="left"/>
      <w:pPr>
        <w:ind w:left="3600" w:hanging="360"/>
      </w:pPr>
    </w:lvl>
    <w:lvl w:ilvl="5" w:tplc="14090005" w:tentative="1">
      <w:start w:val="1"/>
      <w:numFmt w:val="lowerRoman"/>
      <w:lvlText w:val="%6."/>
      <w:lvlJc w:val="right"/>
      <w:pPr>
        <w:ind w:left="4320" w:hanging="180"/>
      </w:pPr>
    </w:lvl>
    <w:lvl w:ilvl="6" w:tplc="14090001" w:tentative="1">
      <w:start w:val="1"/>
      <w:numFmt w:val="decimal"/>
      <w:lvlText w:val="%7."/>
      <w:lvlJc w:val="left"/>
      <w:pPr>
        <w:ind w:left="5040" w:hanging="360"/>
      </w:pPr>
    </w:lvl>
    <w:lvl w:ilvl="7" w:tplc="14090003" w:tentative="1">
      <w:start w:val="1"/>
      <w:numFmt w:val="lowerLetter"/>
      <w:lvlText w:val="%8."/>
      <w:lvlJc w:val="left"/>
      <w:pPr>
        <w:ind w:left="5760" w:hanging="360"/>
      </w:pPr>
    </w:lvl>
    <w:lvl w:ilvl="8" w:tplc="1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9E573C"/>
    <w:multiLevelType w:val="multilevel"/>
    <w:tmpl w:val="B482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AF67882"/>
    <w:multiLevelType w:val="multilevel"/>
    <w:tmpl w:val="C2D2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1DD5688"/>
    <w:multiLevelType w:val="hybridMultilevel"/>
    <w:tmpl w:val="C15A15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4C6FE3"/>
    <w:multiLevelType w:val="hybridMultilevel"/>
    <w:tmpl w:val="6DD4FAF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402273"/>
    <w:multiLevelType w:val="hybridMultilevel"/>
    <w:tmpl w:val="A122462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A51CB6"/>
    <w:multiLevelType w:val="hybridMultilevel"/>
    <w:tmpl w:val="8B7CAEBE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5AA6B26"/>
    <w:multiLevelType w:val="hybridMultilevel"/>
    <w:tmpl w:val="2B32A176"/>
    <w:lvl w:ilvl="0" w:tplc="FAAA0E60">
      <w:start w:val="1"/>
      <w:numFmt w:val="bullet"/>
      <w:pStyle w:val="Style2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676075D"/>
    <w:multiLevelType w:val="hybridMultilevel"/>
    <w:tmpl w:val="7E76E7F6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091D35"/>
    <w:multiLevelType w:val="multilevel"/>
    <w:tmpl w:val="59E2CC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E114ACF"/>
    <w:multiLevelType w:val="multilevel"/>
    <w:tmpl w:val="3940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F136F98"/>
    <w:multiLevelType w:val="multilevel"/>
    <w:tmpl w:val="D95E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20D32E5"/>
    <w:multiLevelType w:val="hybridMultilevel"/>
    <w:tmpl w:val="8F9608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CE2395"/>
    <w:multiLevelType w:val="hybridMultilevel"/>
    <w:tmpl w:val="643008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2F2B0C"/>
    <w:multiLevelType w:val="hybridMultilevel"/>
    <w:tmpl w:val="731A3F5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AA67AD"/>
    <w:multiLevelType w:val="hybridMultilevel"/>
    <w:tmpl w:val="829AE96A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E2E7231"/>
    <w:multiLevelType w:val="hybridMultilevel"/>
    <w:tmpl w:val="3BD0070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863057">
    <w:abstractNumId w:val="15"/>
  </w:num>
  <w:num w:numId="2" w16cid:durableId="659819374">
    <w:abstractNumId w:val="4"/>
  </w:num>
  <w:num w:numId="3" w16cid:durableId="1478037080">
    <w:abstractNumId w:val="5"/>
  </w:num>
  <w:num w:numId="4" w16cid:durableId="827599060">
    <w:abstractNumId w:val="10"/>
  </w:num>
  <w:num w:numId="5" w16cid:durableId="895701328">
    <w:abstractNumId w:val="7"/>
  </w:num>
  <w:num w:numId="6" w16cid:durableId="853882679">
    <w:abstractNumId w:val="5"/>
  </w:num>
  <w:num w:numId="7" w16cid:durableId="1546602258">
    <w:abstractNumId w:val="5"/>
  </w:num>
  <w:num w:numId="8" w16cid:durableId="230624677">
    <w:abstractNumId w:val="12"/>
  </w:num>
  <w:num w:numId="9" w16cid:durableId="108821727">
    <w:abstractNumId w:val="11"/>
  </w:num>
  <w:num w:numId="10" w16cid:durableId="580336094">
    <w:abstractNumId w:val="11"/>
  </w:num>
  <w:num w:numId="11" w16cid:durableId="792552935">
    <w:abstractNumId w:val="11"/>
  </w:num>
  <w:num w:numId="12" w16cid:durableId="917717207">
    <w:abstractNumId w:val="11"/>
  </w:num>
  <w:num w:numId="13" w16cid:durableId="186796487">
    <w:abstractNumId w:val="11"/>
  </w:num>
  <w:num w:numId="14" w16cid:durableId="28999039">
    <w:abstractNumId w:val="0"/>
  </w:num>
  <w:num w:numId="15" w16cid:durableId="1438790970">
    <w:abstractNumId w:val="0"/>
  </w:num>
  <w:num w:numId="16" w16cid:durableId="1496846676">
    <w:abstractNumId w:val="8"/>
  </w:num>
  <w:num w:numId="17" w16cid:durableId="1190874193">
    <w:abstractNumId w:val="22"/>
  </w:num>
  <w:num w:numId="18" w16cid:durableId="989331607">
    <w:abstractNumId w:val="5"/>
  </w:num>
  <w:num w:numId="19" w16cid:durableId="225651806">
    <w:abstractNumId w:val="5"/>
  </w:num>
  <w:num w:numId="20" w16cid:durableId="826046591">
    <w:abstractNumId w:val="24"/>
  </w:num>
  <w:num w:numId="21" w16cid:durableId="1662811578">
    <w:abstractNumId w:val="17"/>
  </w:num>
  <w:num w:numId="22" w16cid:durableId="1528790295">
    <w:abstractNumId w:val="25"/>
  </w:num>
  <w:num w:numId="23" w16cid:durableId="2038071080">
    <w:abstractNumId w:val="26"/>
  </w:num>
  <w:num w:numId="24" w16cid:durableId="343283586">
    <w:abstractNumId w:val="16"/>
  </w:num>
  <w:num w:numId="25" w16cid:durableId="1293249927">
    <w:abstractNumId w:val="2"/>
  </w:num>
  <w:num w:numId="26" w16cid:durableId="698624962">
    <w:abstractNumId w:val="27"/>
  </w:num>
  <w:num w:numId="27" w16cid:durableId="1236743701">
    <w:abstractNumId w:val="31"/>
  </w:num>
  <w:num w:numId="28" w16cid:durableId="112331679">
    <w:abstractNumId w:val="29"/>
  </w:num>
  <w:num w:numId="29" w16cid:durableId="446194288">
    <w:abstractNumId w:val="9"/>
  </w:num>
  <w:num w:numId="30" w16cid:durableId="1874344306">
    <w:abstractNumId w:val="6"/>
  </w:num>
  <w:num w:numId="31" w16cid:durableId="13501204">
    <w:abstractNumId w:val="18"/>
  </w:num>
  <w:num w:numId="32" w16cid:durableId="383216472">
    <w:abstractNumId w:val="20"/>
  </w:num>
  <w:num w:numId="33" w16cid:durableId="899748939">
    <w:abstractNumId w:val="13"/>
  </w:num>
  <w:num w:numId="34" w16cid:durableId="1430127584">
    <w:abstractNumId w:val="21"/>
  </w:num>
  <w:num w:numId="35" w16cid:durableId="1745761579">
    <w:abstractNumId w:val="28"/>
  </w:num>
  <w:num w:numId="36" w16cid:durableId="345526672">
    <w:abstractNumId w:val="14"/>
  </w:num>
  <w:num w:numId="37" w16cid:durableId="881989080">
    <w:abstractNumId w:val="30"/>
  </w:num>
  <w:num w:numId="38" w16cid:durableId="536359457">
    <w:abstractNumId w:val="1"/>
  </w:num>
  <w:num w:numId="39" w16cid:durableId="717776741">
    <w:abstractNumId w:val="3"/>
  </w:num>
  <w:num w:numId="40" w16cid:durableId="939527032">
    <w:abstractNumId w:val="23"/>
  </w:num>
  <w:num w:numId="41" w16cid:durableId="12204819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5EE"/>
    <w:rsid w:val="00001E9D"/>
    <w:rsid w:val="00001F44"/>
    <w:rsid w:val="0000256B"/>
    <w:rsid w:val="0001145D"/>
    <w:rsid w:val="00011B31"/>
    <w:rsid w:val="00016D6C"/>
    <w:rsid w:val="00033B00"/>
    <w:rsid w:val="0003605D"/>
    <w:rsid w:val="00043606"/>
    <w:rsid w:val="00047A90"/>
    <w:rsid w:val="00057968"/>
    <w:rsid w:val="00061267"/>
    <w:rsid w:val="000653E7"/>
    <w:rsid w:val="00073F9E"/>
    <w:rsid w:val="000759B0"/>
    <w:rsid w:val="00086584"/>
    <w:rsid w:val="000A1700"/>
    <w:rsid w:val="000A4FC3"/>
    <w:rsid w:val="000B1E13"/>
    <w:rsid w:val="000B247D"/>
    <w:rsid w:val="000C2883"/>
    <w:rsid w:val="000D5E75"/>
    <w:rsid w:val="000D7D37"/>
    <w:rsid w:val="000E14F0"/>
    <w:rsid w:val="000E363D"/>
    <w:rsid w:val="000F0487"/>
    <w:rsid w:val="000F12AA"/>
    <w:rsid w:val="0010155A"/>
    <w:rsid w:val="001023B2"/>
    <w:rsid w:val="00104277"/>
    <w:rsid w:val="00107E28"/>
    <w:rsid w:val="001120E2"/>
    <w:rsid w:val="00115C36"/>
    <w:rsid w:val="001163EC"/>
    <w:rsid w:val="001200E4"/>
    <w:rsid w:val="00121580"/>
    <w:rsid w:val="00123E46"/>
    <w:rsid w:val="00126C4D"/>
    <w:rsid w:val="001315F4"/>
    <w:rsid w:val="00131E69"/>
    <w:rsid w:val="00147D61"/>
    <w:rsid w:val="001501BD"/>
    <w:rsid w:val="00152D7A"/>
    <w:rsid w:val="001553D1"/>
    <w:rsid w:val="00157E07"/>
    <w:rsid w:val="00166B1C"/>
    <w:rsid w:val="001702ED"/>
    <w:rsid w:val="001726A8"/>
    <w:rsid w:val="00177B06"/>
    <w:rsid w:val="00180E52"/>
    <w:rsid w:val="00181A18"/>
    <w:rsid w:val="001833EA"/>
    <w:rsid w:val="00183C5F"/>
    <w:rsid w:val="00186811"/>
    <w:rsid w:val="00194CCC"/>
    <w:rsid w:val="001954A6"/>
    <w:rsid w:val="001965D4"/>
    <w:rsid w:val="001972D6"/>
    <w:rsid w:val="001A177D"/>
    <w:rsid w:val="001B6125"/>
    <w:rsid w:val="001C00FE"/>
    <w:rsid w:val="001C517C"/>
    <w:rsid w:val="001D0EAD"/>
    <w:rsid w:val="001F1B4D"/>
    <w:rsid w:val="001F533A"/>
    <w:rsid w:val="001F5C06"/>
    <w:rsid w:val="001F63B6"/>
    <w:rsid w:val="00202726"/>
    <w:rsid w:val="00210B54"/>
    <w:rsid w:val="0021297A"/>
    <w:rsid w:val="002159C2"/>
    <w:rsid w:val="00221BC1"/>
    <w:rsid w:val="00222DD8"/>
    <w:rsid w:val="00232DB6"/>
    <w:rsid w:val="00243E7F"/>
    <w:rsid w:val="00245902"/>
    <w:rsid w:val="002473B6"/>
    <w:rsid w:val="002529F9"/>
    <w:rsid w:val="0025439F"/>
    <w:rsid w:val="00254FB3"/>
    <w:rsid w:val="00255067"/>
    <w:rsid w:val="002563A3"/>
    <w:rsid w:val="002565AB"/>
    <w:rsid w:val="00256A05"/>
    <w:rsid w:val="00261C53"/>
    <w:rsid w:val="002711DF"/>
    <w:rsid w:val="00275341"/>
    <w:rsid w:val="00283870"/>
    <w:rsid w:val="00286A94"/>
    <w:rsid w:val="0029179D"/>
    <w:rsid w:val="00291883"/>
    <w:rsid w:val="00295ADE"/>
    <w:rsid w:val="002A0C2F"/>
    <w:rsid w:val="002A4545"/>
    <w:rsid w:val="002B3DD8"/>
    <w:rsid w:val="002B7729"/>
    <w:rsid w:val="002C18A5"/>
    <w:rsid w:val="002D5866"/>
    <w:rsid w:val="002D676F"/>
    <w:rsid w:val="002D6DDD"/>
    <w:rsid w:val="002E5E0B"/>
    <w:rsid w:val="002F0696"/>
    <w:rsid w:val="002F1A5B"/>
    <w:rsid w:val="002F2900"/>
    <w:rsid w:val="00300E1E"/>
    <w:rsid w:val="0030328E"/>
    <w:rsid w:val="003069F1"/>
    <w:rsid w:val="00311E4F"/>
    <w:rsid w:val="0031233A"/>
    <w:rsid w:val="00320A73"/>
    <w:rsid w:val="00320E62"/>
    <w:rsid w:val="00321CA2"/>
    <w:rsid w:val="0032211A"/>
    <w:rsid w:val="003273DC"/>
    <w:rsid w:val="0033118D"/>
    <w:rsid w:val="00342EC6"/>
    <w:rsid w:val="00350F9E"/>
    <w:rsid w:val="0036325C"/>
    <w:rsid w:val="00364007"/>
    <w:rsid w:val="00365726"/>
    <w:rsid w:val="003658B1"/>
    <w:rsid w:val="003744DD"/>
    <w:rsid w:val="003852A5"/>
    <w:rsid w:val="003947B7"/>
    <w:rsid w:val="003B5900"/>
    <w:rsid w:val="003B6E65"/>
    <w:rsid w:val="003B7244"/>
    <w:rsid w:val="003C1705"/>
    <w:rsid w:val="003C4054"/>
    <w:rsid w:val="003C476A"/>
    <w:rsid w:val="003D2FA4"/>
    <w:rsid w:val="003D3058"/>
    <w:rsid w:val="003D4485"/>
    <w:rsid w:val="003D76D1"/>
    <w:rsid w:val="003E23A4"/>
    <w:rsid w:val="003E3097"/>
    <w:rsid w:val="003F11FB"/>
    <w:rsid w:val="003F2B72"/>
    <w:rsid w:val="003F3771"/>
    <w:rsid w:val="003F7823"/>
    <w:rsid w:val="003F7A46"/>
    <w:rsid w:val="0040050B"/>
    <w:rsid w:val="0040086F"/>
    <w:rsid w:val="0041531F"/>
    <w:rsid w:val="00423595"/>
    <w:rsid w:val="00424C24"/>
    <w:rsid w:val="00427423"/>
    <w:rsid w:val="00434B4E"/>
    <w:rsid w:val="004370B9"/>
    <w:rsid w:val="004402D8"/>
    <w:rsid w:val="00446964"/>
    <w:rsid w:val="00451EE7"/>
    <w:rsid w:val="004540B5"/>
    <w:rsid w:val="00460760"/>
    <w:rsid w:val="004624ED"/>
    <w:rsid w:val="00463DC9"/>
    <w:rsid w:val="004656C5"/>
    <w:rsid w:val="00471499"/>
    <w:rsid w:val="00474216"/>
    <w:rsid w:val="00476533"/>
    <w:rsid w:val="004769F4"/>
    <w:rsid w:val="00476AD1"/>
    <w:rsid w:val="0048092E"/>
    <w:rsid w:val="00480D85"/>
    <w:rsid w:val="00485502"/>
    <w:rsid w:val="004A48F3"/>
    <w:rsid w:val="004A7674"/>
    <w:rsid w:val="004B250A"/>
    <w:rsid w:val="004B4CA3"/>
    <w:rsid w:val="004B6C92"/>
    <w:rsid w:val="004C08E0"/>
    <w:rsid w:val="004C280D"/>
    <w:rsid w:val="004C3D16"/>
    <w:rsid w:val="004C476A"/>
    <w:rsid w:val="004C52D2"/>
    <w:rsid w:val="004C7539"/>
    <w:rsid w:val="004D48A4"/>
    <w:rsid w:val="004D5B1B"/>
    <w:rsid w:val="004D6F93"/>
    <w:rsid w:val="004E2BE5"/>
    <w:rsid w:val="004E5EC5"/>
    <w:rsid w:val="004F0CBE"/>
    <w:rsid w:val="004F10FB"/>
    <w:rsid w:val="004F4649"/>
    <w:rsid w:val="004F56D1"/>
    <w:rsid w:val="004F7B6F"/>
    <w:rsid w:val="005003E9"/>
    <w:rsid w:val="005019F4"/>
    <w:rsid w:val="00503E23"/>
    <w:rsid w:val="0050608B"/>
    <w:rsid w:val="00510171"/>
    <w:rsid w:val="00513956"/>
    <w:rsid w:val="005164F6"/>
    <w:rsid w:val="00532DC1"/>
    <w:rsid w:val="0053482F"/>
    <w:rsid w:val="00536240"/>
    <w:rsid w:val="00537E63"/>
    <w:rsid w:val="00542009"/>
    <w:rsid w:val="00542028"/>
    <w:rsid w:val="005503E5"/>
    <w:rsid w:val="00552512"/>
    <w:rsid w:val="005567D5"/>
    <w:rsid w:val="00562EDA"/>
    <w:rsid w:val="00586416"/>
    <w:rsid w:val="00593477"/>
    <w:rsid w:val="005B4FDE"/>
    <w:rsid w:val="005C443D"/>
    <w:rsid w:val="005C5FFF"/>
    <w:rsid w:val="005C7CE6"/>
    <w:rsid w:val="005D202B"/>
    <w:rsid w:val="005D2687"/>
    <w:rsid w:val="005D5276"/>
    <w:rsid w:val="005E13AE"/>
    <w:rsid w:val="005E18B5"/>
    <w:rsid w:val="005E1F79"/>
    <w:rsid w:val="005E30CD"/>
    <w:rsid w:val="005E366B"/>
    <w:rsid w:val="005E72A8"/>
    <w:rsid w:val="005F10D7"/>
    <w:rsid w:val="005F21B1"/>
    <w:rsid w:val="005F51D2"/>
    <w:rsid w:val="005F7618"/>
    <w:rsid w:val="00614CE5"/>
    <w:rsid w:val="00616A9F"/>
    <w:rsid w:val="00617F8A"/>
    <w:rsid w:val="006255DE"/>
    <w:rsid w:val="0062571E"/>
    <w:rsid w:val="00632084"/>
    <w:rsid w:val="00635C7C"/>
    <w:rsid w:val="006371D1"/>
    <w:rsid w:val="00646109"/>
    <w:rsid w:val="00650B5F"/>
    <w:rsid w:val="0065121C"/>
    <w:rsid w:val="00664B80"/>
    <w:rsid w:val="00672572"/>
    <w:rsid w:val="006727EE"/>
    <w:rsid w:val="00676F65"/>
    <w:rsid w:val="0069050F"/>
    <w:rsid w:val="00691148"/>
    <w:rsid w:val="00695DDD"/>
    <w:rsid w:val="006A1569"/>
    <w:rsid w:val="006A236F"/>
    <w:rsid w:val="006A76BB"/>
    <w:rsid w:val="006B14DF"/>
    <w:rsid w:val="006B48AF"/>
    <w:rsid w:val="006B51D0"/>
    <w:rsid w:val="006C0309"/>
    <w:rsid w:val="006C205F"/>
    <w:rsid w:val="006C2CF8"/>
    <w:rsid w:val="006C3FE1"/>
    <w:rsid w:val="006C7A2A"/>
    <w:rsid w:val="006D33CE"/>
    <w:rsid w:val="006F119E"/>
    <w:rsid w:val="00700D17"/>
    <w:rsid w:val="00705AD4"/>
    <w:rsid w:val="007061B2"/>
    <w:rsid w:val="007110D7"/>
    <w:rsid w:val="00712FDC"/>
    <w:rsid w:val="00716DD9"/>
    <w:rsid w:val="00721BC6"/>
    <w:rsid w:val="00735B30"/>
    <w:rsid w:val="0073672A"/>
    <w:rsid w:val="00736A3D"/>
    <w:rsid w:val="00754884"/>
    <w:rsid w:val="007550A6"/>
    <w:rsid w:val="00757E3E"/>
    <w:rsid w:val="0076128D"/>
    <w:rsid w:val="00761C29"/>
    <w:rsid w:val="00764D7E"/>
    <w:rsid w:val="007662B3"/>
    <w:rsid w:val="00766926"/>
    <w:rsid w:val="00770F4E"/>
    <w:rsid w:val="0077320C"/>
    <w:rsid w:val="00775F99"/>
    <w:rsid w:val="0078124E"/>
    <w:rsid w:val="00782E2D"/>
    <w:rsid w:val="0078308C"/>
    <w:rsid w:val="0078330C"/>
    <w:rsid w:val="00786428"/>
    <w:rsid w:val="00787216"/>
    <w:rsid w:val="0079124F"/>
    <w:rsid w:val="00793F5C"/>
    <w:rsid w:val="007946FE"/>
    <w:rsid w:val="007A22D8"/>
    <w:rsid w:val="007A2BAC"/>
    <w:rsid w:val="007A3D2D"/>
    <w:rsid w:val="007B08C2"/>
    <w:rsid w:val="007B3461"/>
    <w:rsid w:val="007B360B"/>
    <w:rsid w:val="007B5ACD"/>
    <w:rsid w:val="007C3356"/>
    <w:rsid w:val="007D0821"/>
    <w:rsid w:val="007D3631"/>
    <w:rsid w:val="007D3B1C"/>
    <w:rsid w:val="007D42DF"/>
    <w:rsid w:val="007D4D0A"/>
    <w:rsid w:val="007D71B9"/>
    <w:rsid w:val="007E1044"/>
    <w:rsid w:val="007F2994"/>
    <w:rsid w:val="007F4BDA"/>
    <w:rsid w:val="008134E8"/>
    <w:rsid w:val="00813D85"/>
    <w:rsid w:val="0081737E"/>
    <w:rsid w:val="008207CC"/>
    <w:rsid w:val="00823358"/>
    <w:rsid w:val="008334CF"/>
    <w:rsid w:val="00833644"/>
    <w:rsid w:val="00844AF9"/>
    <w:rsid w:val="00845EAD"/>
    <w:rsid w:val="00851FD0"/>
    <w:rsid w:val="00854E2C"/>
    <w:rsid w:val="008621F6"/>
    <w:rsid w:val="00864B09"/>
    <w:rsid w:val="00865F4B"/>
    <w:rsid w:val="008739E8"/>
    <w:rsid w:val="00880D30"/>
    <w:rsid w:val="00887083"/>
    <w:rsid w:val="00892CE4"/>
    <w:rsid w:val="00893D52"/>
    <w:rsid w:val="00897C95"/>
    <w:rsid w:val="00897CDF"/>
    <w:rsid w:val="008A24F0"/>
    <w:rsid w:val="008A40AD"/>
    <w:rsid w:val="008A4AFA"/>
    <w:rsid w:val="008A4B62"/>
    <w:rsid w:val="008A798F"/>
    <w:rsid w:val="008B0C0E"/>
    <w:rsid w:val="008B7310"/>
    <w:rsid w:val="008C612A"/>
    <w:rsid w:val="008D2695"/>
    <w:rsid w:val="008D32B7"/>
    <w:rsid w:val="008D356B"/>
    <w:rsid w:val="008E0381"/>
    <w:rsid w:val="008E0CCA"/>
    <w:rsid w:val="008E119E"/>
    <w:rsid w:val="008E28F7"/>
    <w:rsid w:val="008F638B"/>
    <w:rsid w:val="008F75FC"/>
    <w:rsid w:val="00901D12"/>
    <w:rsid w:val="00903486"/>
    <w:rsid w:val="009043D9"/>
    <w:rsid w:val="00904F60"/>
    <w:rsid w:val="0090661E"/>
    <w:rsid w:val="00910927"/>
    <w:rsid w:val="00910B30"/>
    <w:rsid w:val="009121B7"/>
    <w:rsid w:val="00917177"/>
    <w:rsid w:val="00920CF4"/>
    <w:rsid w:val="00922FCF"/>
    <w:rsid w:val="009274AF"/>
    <w:rsid w:val="00927FB5"/>
    <w:rsid w:val="00932216"/>
    <w:rsid w:val="00936ADC"/>
    <w:rsid w:val="00944B16"/>
    <w:rsid w:val="00944C6D"/>
    <w:rsid w:val="0095180B"/>
    <w:rsid w:val="009539C6"/>
    <w:rsid w:val="00953DFB"/>
    <w:rsid w:val="009546F0"/>
    <w:rsid w:val="00954C4C"/>
    <w:rsid w:val="009642D8"/>
    <w:rsid w:val="00964A99"/>
    <w:rsid w:val="0097061F"/>
    <w:rsid w:val="00976A17"/>
    <w:rsid w:val="009A2AE9"/>
    <w:rsid w:val="009A3E68"/>
    <w:rsid w:val="009B05BA"/>
    <w:rsid w:val="009B1209"/>
    <w:rsid w:val="009B336B"/>
    <w:rsid w:val="009D0824"/>
    <w:rsid w:val="009D10C6"/>
    <w:rsid w:val="009D3D81"/>
    <w:rsid w:val="009D6DE1"/>
    <w:rsid w:val="009E18FB"/>
    <w:rsid w:val="009E510A"/>
    <w:rsid w:val="00A02E3D"/>
    <w:rsid w:val="00A10E78"/>
    <w:rsid w:val="00A1114F"/>
    <w:rsid w:val="00A138D6"/>
    <w:rsid w:val="00A225E8"/>
    <w:rsid w:val="00A25473"/>
    <w:rsid w:val="00A25798"/>
    <w:rsid w:val="00A301B3"/>
    <w:rsid w:val="00A37EE2"/>
    <w:rsid w:val="00A47344"/>
    <w:rsid w:val="00A478D7"/>
    <w:rsid w:val="00A523B3"/>
    <w:rsid w:val="00A56120"/>
    <w:rsid w:val="00A6140E"/>
    <w:rsid w:val="00A74128"/>
    <w:rsid w:val="00A756A2"/>
    <w:rsid w:val="00A75ADB"/>
    <w:rsid w:val="00A80272"/>
    <w:rsid w:val="00A81E9B"/>
    <w:rsid w:val="00A86940"/>
    <w:rsid w:val="00A9273B"/>
    <w:rsid w:val="00A935B5"/>
    <w:rsid w:val="00A95ABC"/>
    <w:rsid w:val="00AA5EF8"/>
    <w:rsid w:val="00AB3A8C"/>
    <w:rsid w:val="00AB55D1"/>
    <w:rsid w:val="00AC7CCA"/>
    <w:rsid w:val="00AD2319"/>
    <w:rsid w:val="00AD392F"/>
    <w:rsid w:val="00AD5237"/>
    <w:rsid w:val="00AE1900"/>
    <w:rsid w:val="00AE53C3"/>
    <w:rsid w:val="00AE6404"/>
    <w:rsid w:val="00AE6900"/>
    <w:rsid w:val="00AF034D"/>
    <w:rsid w:val="00B05795"/>
    <w:rsid w:val="00B138A8"/>
    <w:rsid w:val="00B17F73"/>
    <w:rsid w:val="00B2095D"/>
    <w:rsid w:val="00B20C41"/>
    <w:rsid w:val="00B217C4"/>
    <w:rsid w:val="00B279A2"/>
    <w:rsid w:val="00B34325"/>
    <w:rsid w:val="00B406E1"/>
    <w:rsid w:val="00B40D45"/>
    <w:rsid w:val="00B41C13"/>
    <w:rsid w:val="00B463E4"/>
    <w:rsid w:val="00B517B4"/>
    <w:rsid w:val="00B601AB"/>
    <w:rsid w:val="00B619F1"/>
    <w:rsid w:val="00B73586"/>
    <w:rsid w:val="00B8000B"/>
    <w:rsid w:val="00B823E5"/>
    <w:rsid w:val="00B84CAA"/>
    <w:rsid w:val="00B87D1F"/>
    <w:rsid w:val="00B9082E"/>
    <w:rsid w:val="00B94638"/>
    <w:rsid w:val="00B95504"/>
    <w:rsid w:val="00BA2C2E"/>
    <w:rsid w:val="00BA4994"/>
    <w:rsid w:val="00BA6DD1"/>
    <w:rsid w:val="00BB0882"/>
    <w:rsid w:val="00BB354E"/>
    <w:rsid w:val="00BB35ED"/>
    <w:rsid w:val="00BB5733"/>
    <w:rsid w:val="00BB575C"/>
    <w:rsid w:val="00BC0F60"/>
    <w:rsid w:val="00BC28D9"/>
    <w:rsid w:val="00BC4F82"/>
    <w:rsid w:val="00BD272D"/>
    <w:rsid w:val="00BD3AB7"/>
    <w:rsid w:val="00BD557D"/>
    <w:rsid w:val="00BF0B69"/>
    <w:rsid w:val="00BF168C"/>
    <w:rsid w:val="00BF25DB"/>
    <w:rsid w:val="00C00816"/>
    <w:rsid w:val="00C070BA"/>
    <w:rsid w:val="00C0760C"/>
    <w:rsid w:val="00C10D6F"/>
    <w:rsid w:val="00C12B9A"/>
    <w:rsid w:val="00C14C6C"/>
    <w:rsid w:val="00C178D9"/>
    <w:rsid w:val="00C17D03"/>
    <w:rsid w:val="00C2004F"/>
    <w:rsid w:val="00C22284"/>
    <w:rsid w:val="00C2272C"/>
    <w:rsid w:val="00C23F6C"/>
    <w:rsid w:val="00C2699A"/>
    <w:rsid w:val="00C30771"/>
    <w:rsid w:val="00C328FF"/>
    <w:rsid w:val="00C33344"/>
    <w:rsid w:val="00C337F9"/>
    <w:rsid w:val="00C34E6C"/>
    <w:rsid w:val="00C43318"/>
    <w:rsid w:val="00C43B56"/>
    <w:rsid w:val="00C47C98"/>
    <w:rsid w:val="00C510B1"/>
    <w:rsid w:val="00C561B5"/>
    <w:rsid w:val="00C6015D"/>
    <w:rsid w:val="00C63230"/>
    <w:rsid w:val="00C66934"/>
    <w:rsid w:val="00C845F7"/>
    <w:rsid w:val="00C869DC"/>
    <w:rsid w:val="00C92EF2"/>
    <w:rsid w:val="00C9331F"/>
    <w:rsid w:val="00C933EE"/>
    <w:rsid w:val="00C96245"/>
    <w:rsid w:val="00C96B34"/>
    <w:rsid w:val="00C97B4B"/>
    <w:rsid w:val="00CA12C4"/>
    <w:rsid w:val="00CA136D"/>
    <w:rsid w:val="00CB3727"/>
    <w:rsid w:val="00CC26A1"/>
    <w:rsid w:val="00CC4F61"/>
    <w:rsid w:val="00CC7157"/>
    <w:rsid w:val="00CD26A5"/>
    <w:rsid w:val="00CD2990"/>
    <w:rsid w:val="00CD4EC8"/>
    <w:rsid w:val="00CD55EE"/>
    <w:rsid w:val="00CD71C2"/>
    <w:rsid w:val="00CE5665"/>
    <w:rsid w:val="00CF2E38"/>
    <w:rsid w:val="00CF4688"/>
    <w:rsid w:val="00CF6811"/>
    <w:rsid w:val="00CF7706"/>
    <w:rsid w:val="00D12B9B"/>
    <w:rsid w:val="00D26A87"/>
    <w:rsid w:val="00D37F42"/>
    <w:rsid w:val="00D429CF"/>
    <w:rsid w:val="00D54727"/>
    <w:rsid w:val="00D5484F"/>
    <w:rsid w:val="00D556A0"/>
    <w:rsid w:val="00D60310"/>
    <w:rsid w:val="00D70FC3"/>
    <w:rsid w:val="00D72489"/>
    <w:rsid w:val="00D72AE5"/>
    <w:rsid w:val="00D75550"/>
    <w:rsid w:val="00D81C9C"/>
    <w:rsid w:val="00D96796"/>
    <w:rsid w:val="00D9744D"/>
    <w:rsid w:val="00DA66ED"/>
    <w:rsid w:val="00DB3AA0"/>
    <w:rsid w:val="00DB6618"/>
    <w:rsid w:val="00DB696C"/>
    <w:rsid w:val="00DB7887"/>
    <w:rsid w:val="00DC5AB0"/>
    <w:rsid w:val="00DC7380"/>
    <w:rsid w:val="00DD5422"/>
    <w:rsid w:val="00DD7920"/>
    <w:rsid w:val="00DE3DDF"/>
    <w:rsid w:val="00DE6AE3"/>
    <w:rsid w:val="00DE7BC7"/>
    <w:rsid w:val="00DF2FDF"/>
    <w:rsid w:val="00DF374C"/>
    <w:rsid w:val="00DF48EB"/>
    <w:rsid w:val="00DF510B"/>
    <w:rsid w:val="00E011CD"/>
    <w:rsid w:val="00E0125C"/>
    <w:rsid w:val="00E01C4B"/>
    <w:rsid w:val="00E02073"/>
    <w:rsid w:val="00E038BF"/>
    <w:rsid w:val="00E15D04"/>
    <w:rsid w:val="00E16366"/>
    <w:rsid w:val="00E22839"/>
    <w:rsid w:val="00E27D8F"/>
    <w:rsid w:val="00E3037C"/>
    <w:rsid w:val="00E31776"/>
    <w:rsid w:val="00E3334A"/>
    <w:rsid w:val="00E336D2"/>
    <w:rsid w:val="00E338BB"/>
    <w:rsid w:val="00E3658E"/>
    <w:rsid w:val="00E36864"/>
    <w:rsid w:val="00E4179C"/>
    <w:rsid w:val="00E42074"/>
    <w:rsid w:val="00E45576"/>
    <w:rsid w:val="00E46F3F"/>
    <w:rsid w:val="00E47B25"/>
    <w:rsid w:val="00E55311"/>
    <w:rsid w:val="00E56350"/>
    <w:rsid w:val="00E56702"/>
    <w:rsid w:val="00E57DF0"/>
    <w:rsid w:val="00E73754"/>
    <w:rsid w:val="00E741EE"/>
    <w:rsid w:val="00E742C4"/>
    <w:rsid w:val="00E77FEA"/>
    <w:rsid w:val="00E80A9F"/>
    <w:rsid w:val="00E84CF9"/>
    <w:rsid w:val="00E85200"/>
    <w:rsid w:val="00E857C6"/>
    <w:rsid w:val="00E910F8"/>
    <w:rsid w:val="00E9234F"/>
    <w:rsid w:val="00E96359"/>
    <w:rsid w:val="00E96526"/>
    <w:rsid w:val="00EA3830"/>
    <w:rsid w:val="00EA5F1D"/>
    <w:rsid w:val="00EA697B"/>
    <w:rsid w:val="00EA6E4B"/>
    <w:rsid w:val="00EB0A05"/>
    <w:rsid w:val="00EB0D3A"/>
    <w:rsid w:val="00EB30AB"/>
    <w:rsid w:val="00EB55C4"/>
    <w:rsid w:val="00EB60AA"/>
    <w:rsid w:val="00EC09F7"/>
    <w:rsid w:val="00ED0E88"/>
    <w:rsid w:val="00ED52C6"/>
    <w:rsid w:val="00EF2E90"/>
    <w:rsid w:val="00EF45A7"/>
    <w:rsid w:val="00EF4A75"/>
    <w:rsid w:val="00F0257D"/>
    <w:rsid w:val="00F050DE"/>
    <w:rsid w:val="00F06F74"/>
    <w:rsid w:val="00F07C5E"/>
    <w:rsid w:val="00F16745"/>
    <w:rsid w:val="00F260E9"/>
    <w:rsid w:val="00F333C9"/>
    <w:rsid w:val="00F37411"/>
    <w:rsid w:val="00F40933"/>
    <w:rsid w:val="00F4254F"/>
    <w:rsid w:val="00F43399"/>
    <w:rsid w:val="00F61FE4"/>
    <w:rsid w:val="00F624AE"/>
    <w:rsid w:val="00F64BE4"/>
    <w:rsid w:val="00F725AC"/>
    <w:rsid w:val="00F83089"/>
    <w:rsid w:val="00F92B32"/>
    <w:rsid w:val="00F95920"/>
    <w:rsid w:val="00FA28C0"/>
    <w:rsid w:val="00FA2D18"/>
    <w:rsid w:val="00FA537D"/>
    <w:rsid w:val="00FA549B"/>
    <w:rsid w:val="00FA6FB0"/>
    <w:rsid w:val="00FA7644"/>
    <w:rsid w:val="00FA76CD"/>
    <w:rsid w:val="00FB39FA"/>
    <w:rsid w:val="00FB78B1"/>
    <w:rsid w:val="00FC0310"/>
    <w:rsid w:val="00FC115F"/>
    <w:rsid w:val="00FD0EF5"/>
    <w:rsid w:val="00FE3E67"/>
    <w:rsid w:val="00FE4CD3"/>
    <w:rsid w:val="00FE5EF2"/>
    <w:rsid w:val="00FE75D0"/>
    <w:rsid w:val="00FE7F2D"/>
    <w:rsid w:val="00FF11CD"/>
    <w:rsid w:val="00FF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A13FC0"/>
  <w15:chartTrackingRefBased/>
  <w15:docId w15:val="{5383A366-292E-4DD6-9E2B-A6430339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iPriority="0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3CE"/>
    <w:pPr>
      <w:spacing w:before="120" w:after="120" w:line="240" w:lineRule="auto"/>
      <w:contextualSpacing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7A3D2D"/>
    <w:pPr>
      <w:keepNext/>
      <w:pBdr>
        <w:bottom w:val="single" w:sz="4" w:space="1" w:color="auto"/>
      </w:pBdr>
      <w:spacing w:before="360"/>
      <w:outlineLvl w:val="0"/>
    </w:pPr>
    <w:rPr>
      <w:rFonts w:ascii="Arial" w:hAnsi="Arial" w:cs="Arial"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A3D2D"/>
    <w:pPr>
      <w:keepNext/>
      <w:spacing w:before="240"/>
      <w:outlineLvl w:val="1"/>
    </w:pPr>
    <w:rPr>
      <w:rFonts w:cs="Arial"/>
      <w:bCs/>
      <w:iCs/>
      <w:szCs w:val="28"/>
      <w:u w:val="single"/>
      <w:lang w:eastAsia="en-GB"/>
    </w:rPr>
  </w:style>
  <w:style w:type="paragraph" w:styleId="Heading3">
    <w:name w:val="heading 3"/>
    <w:aliases w:val="H3"/>
    <w:basedOn w:val="Heading2"/>
    <w:next w:val="Normal"/>
    <w:link w:val="Heading3Char"/>
    <w:uiPriority w:val="9"/>
    <w:unhideWhenUsed/>
    <w:qFormat/>
    <w:rsid w:val="00A1114F"/>
    <w:pPr>
      <w:numPr>
        <w:ilvl w:val="2"/>
      </w:numPr>
      <w:ind w:left="567" w:hanging="567"/>
      <w:outlineLvl w:val="2"/>
    </w:pPr>
    <w:rPr>
      <w:i/>
      <w:iCs w:val="0"/>
      <w:lang w:bidi="th-TH"/>
    </w:rPr>
  </w:style>
  <w:style w:type="paragraph" w:styleId="Heading4">
    <w:name w:val="heading 4"/>
    <w:aliases w:val="Change"/>
    <w:next w:val="Normal"/>
    <w:link w:val="Heading4Char"/>
    <w:uiPriority w:val="9"/>
    <w:unhideWhenUsed/>
    <w:qFormat/>
    <w:rsid w:val="00A47344"/>
    <w:pPr>
      <w:keepNext/>
      <w:keepLines/>
      <w:numPr>
        <w:ilvl w:val="3"/>
        <w:numId w:val="20"/>
      </w:numPr>
      <w:spacing w:before="200"/>
      <w:ind w:left="426" w:hanging="426"/>
      <w:outlineLvl w:val="3"/>
    </w:pPr>
    <w:rPr>
      <w:rFonts w:ascii="Times New Roman" w:eastAsiaTheme="majorEastAsia" w:hAnsi="Times New Roman" w:cs="Times New Roman"/>
      <w:bCs/>
      <w:i/>
      <w:iCs/>
      <w:sz w:val="24"/>
      <w:szCs w:val="24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A1114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A1114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14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14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14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IR Bullet,PEP Bullets,List Item,Keystone Numbered List,lp1,List Paragraph1,List Paragraph.List 1.0,List Paragraph.List 1.01,List Paragraph.List 1.011,List Paragraph.List 1.02,Colorful List - Accent 11,List Paragraph.List 1.03,IR Bullet1"/>
    <w:basedOn w:val="Normal"/>
    <w:link w:val="ListParagraphChar"/>
    <w:uiPriority w:val="34"/>
    <w:qFormat/>
    <w:rsid w:val="00A1114F"/>
    <w:pPr>
      <w:ind w:left="720"/>
    </w:pPr>
    <w:rPr>
      <w:rFonts w:cs="Times New Roman"/>
      <w:szCs w:val="24"/>
    </w:rPr>
  </w:style>
  <w:style w:type="paragraph" w:customStyle="1" w:styleId="noindent">
    <w:name w:val="#) no indent"/>
    <w:basedOn w:val="ListParagraph"/>
    <w:rsid w:val="00A1114F"/>
    <w:pPr>
      <w:numPr>
        <w:numId w:val="1"/>
      </w:numPr>
      <w:autoSpaceDE w:val="0"/>
      <w:autoSpaceDN w:val="0"/>
      <w:adjustRightInd w:val="0"/>
    </w:pPr>
    <w:rPr>
      <w:szCs w:val="18"/>
      <w:u w:val="single"/>
    </w:rPr>
  </w:style>
  <w:style w:type="paragraph" w:customStyle="1" w:styleId="anoindent">
    <w:name w:val="a) no indent"/>
    <w:basedOn w:val="noindent"/>
    <w:rsid w:val="00A1114F"/>
    <w:pPr>
      <w:numPr>
        <w:numId w:val="2"/>
      </w:numPr>
    </w:pPr>
    <w:rPr>
      <w:szCs w:val="24"/>
      <w:u w:val="none"/>
      <w:lang w:eastAsia="en-NZ" w:bidi="th-TH"/>
    </w:rPr>
  </w:style>
  <w:style w:type="character" w:customStyle="1" w:styleId="Heading1Char">
    <w:name w:val="Heading 1 Char"/>
    <w:basedOn w:val="DefaultParagraphFont"/>
    <w:link w:val="Heading1"/>
    <w:rsid w:val="007A3D2D"/>
    <w:rPr>
      <w:rFonts w:ascii="Arial" w:hAnsi="Arial" w:cs="Arial"/>
      <w:bCs/>
      <w:kern w:val="32"/>
      <w:sz w:val="24"/>
      <w:szCs w:val="32"/>
    </w:rPr>
  </w:style>
  <w:style w:type="paragraph" w:customStyle="1" w:styleId="appendix0">
    <w:name w:val="appendix"/>
    <w:basedOn w:val="Heading1"/>
    <w:next w:val="Normal"/>
    <w:link w:val="appendixChar"/>
    <w:autoRedefine/>
    <w:rsid w:val="00A1114F"/>
  </w:style>
  <w:style w:type="character" w:customStyle="1" w:styleId="appendixChar">
    <w:name w:val="appendix Char"/>
    <w:basedOn w:val="Heading1Char"/>
    <w:link w:val="appendix0"/>
    <w:rsid w:val="00A1114F"/>
    <w:rPr>
      <w:rFonts w:ascii="Arial" w:hAnsi="Arial" w:cs="Arial"/>
      <w:bCs/>
      <w:kern w:val="32"/>
      <w:sz w:val="24"/>
      <w:szCs w:val="32"/>
    </w:rPr>
  </w:style>
  <w:style w:type="paragraph" w:styleId="Index4">
    <w:name w:val="index 4"/>
    <w:basedOn w:val="Normal"/>
    <w:next w:val="Normal"/>
    <w:autoRedefine/>
    <w:rsid w:val="00A1114F"/>
    <w:pPr>
      <w:ind w:left="960" w:hanging="240"/>
    </w:pPr>
    <w:rPr>
      <w:rFonts w:cs="Times New Roman"/>
      <w:szCs w:val="24"/>
    </w:rPr>
  </w:style>
  <w:style w:type="paragraph" w:customStyle="1" w:styleId="Appendix">
    <w:name w:val="Appendix"/>
    <w:basedOn w:val="Index4"/>
    <w:link w:val="AppendixChar0"/>
    <w:rsid w:val="00A1114F"/>
    <w:pPr>
      <w:numPr>
        <w:numId w:val="5"/>
      </w:numPr>
    </w:pPr>
    <w:rPr>
      <w:kern w:val="32"/>
    </w:rPr>
  </w:style>
  <w:style w:type="character" w:customStyle="1" w:styleId="AppendixChar0">
    <w:name w:val="Appendix Char"/>
    <w:basedOn w:val="Heading1Char"/>
    <w:link w:val="Appendix"/>
    <w:rsid w:val="00A1114F"/>
    <w:rPr>
      <w:rFonts w:ascii="Times New Roman" w:hAnsi="Times New Roman" w:cs="Times New Roman"/>
      <w:bCs w:val="0"/>
      <w:kern w:val="32"/>
      <w:sz w:val="24"/>
      <w:szCs w:val="24"/>
    </w:rPr>
  </w:style>
  <w:style w:type="paragraph" w:styleId="BalloonText">
    <w:name w:val="Balloon Text"/>
    <w:basedOn w:val="Normal"/>
    <w:link w:val="BalloonTextChar"/>
    <w:rsid w:val="00A111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1114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A1114F"/>
    <w:pPr>
      <w:ind w:left="839"/>
      <w:jc w:val="both"/>
    </w:pPr>
    <w:rPr>
      <w:rFonts w:ascii="Arial" w:eastAsia="Times New Roman" w:hAnsi="Arial" w:cs="Times New Roman"/>
      <w:sz w:val="22"/>
      <w:szCs w:val="20"/>
      <w:lang w:eastAsia="en-NZ"/>
    </w:rPr>
  </w:style>
  <w:style w:type="character" w:customStyle="1" w:styleId="BodyTextChar">
    <w:name w:val="Body Text Char"/>
    <w:basedOn w:val="DefaultParagraphFont"/>
    <w:link w:val="BodyText"/>
    <w:rsid w:val="00A1114F"/>
    <w:rPr>
      <w:rFonts w:ascii="Arial" w:eastAsia="Times New Roman" w:hAnsi="Arial" w:cs="Times New Roman"/>
      <w:szCs w:val="20"/>
      <w:lang w:eastAsia="en-NZ"/>
    </w:rPr>
  </w:style>
  <w:style w:type="paragraph" w:styleId="Caption">
    <w:name w:val="caption"/>
    <w:basedOn w:val="Normal"/>
    <w:next w:val="Normal"/>
    <w:unhideWhenUsed/>
    <w:qFormat/>
    <w:rsid w:val="00A1114F"/>
    <w:pPr>
      <w:keepNext/>
    </w:pPr>
    <w:rPr>
      <w:rFonts w:cs="Times New Roman"/>
      <w:bCs/>
      <w:i/>
      <w:noProof/>
      <w:szCs w:val="18"/>
    </w:rPr>
  </w:style>
  <w:style w:type="paragraph" w:customStyle="1" w:styleId="code">
    <w:name w:val="code"/>
    <w:link w:val="codeChar"/>
    <w:qFormat/>
    <w:rsid w:val="00DB696C"/>
    <w:pPr>
      <w:spacing w:after="0" w:line="240" w:lineRule="auto"/>
      <w:contextualSpacing/>
    </w:pPr>
    <w:rPr>
      <w:rFonts w:ascii="Courier New" w:hAnsi="Courier New" w:cs="Courier New"/>
      <w:sz w:val="18"/>
      <w:szCs w:val="18"/>
    </w:rPr>
  </w:style>
  <w:style w:type="character" w:customStyle="1" w:styleId="codeChar">
    <w:name w:val="code Char"/>
    <w:basedOn w:val="DefaultParagraphFont"/>
    <w:link w:val="code"/>
    <w:rsid w:val="00DB696C"/>
    <w:rPr>
      <w:rFonts w:ascii="Courier New" w:hAnsi="Courier New" w:cs="Courier New"/>
      <w:sz w:val="18"/>
      <w:szCs w:val="18"/>
    </w:rPr>
  </w:style>
  <w:style w:type="character" w:styleId="CommentReference">
    <w:name w:val="annotation reference"/>
    <w:basedOn w:val="DefaultParagraphFont"/>
    <w:uiPriority w:val="99"/>
    <w:unhideWhenUsed/>
    <w:rsid w:val="00A111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1114F"/>
    <w:rPr>
      <w:rFonts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1114F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A111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A1114F"/>
    <w:rPr>
      <w:rFonts w:ascii="Times New Roman" w:hAnsi="Times New Roman" w:cs="Times New Roman"/>
      <w:b/>
      <w:bCs/>
      <w:sz w:val="20"/>
      <w:szCs w:val="20"/>
    </w:rPr>
  </w:style>
  <w:style w:type="character" w:customStyle="1" w:styleId="contextualspellingandgrammarerror">
    <w:name w:val="contextualspellingandgrammarerror"/>
    <w:basedOn w:val="DefaultParagraphFont"/>
    <w:rsid w:val="00A1114F"/>
  </w:style>
  <w:style w:type="character" w:customStyle="1" w:styleId="Heading2Char">
    <w:name w:val="Heading 2 Char"/>
    <w:basedOn w:val="DefaultParagraphFont"/>
    <w:link w:val="Heading2"/>
    <w:rsid w:val="007A3D2D"/>
    <w:rPr>
      <w:rFonts w:ascii="Times New Roman" w:hAnsi="Times New Roman" w:cs="Arial"/>
      <w:bCs/>
      <w:iCs/>
      <w:sz w:val="24"/>
      <w:szCs w:val="28"/>
      <w:u w:val="single"/>
      <w:lang w:eastAsia="en-GB"/>
    </w:rPr>
  </w:style>
  <w:style w:type="character" w:customStyle="1" w:styleId="Heading3Char">
    <w:name w:val="Heading 3 Char"/>
    <w:aliases w:val="H3 Char"/>
    <w:basedOn w:val="DefaultParagraphFont"/>
    <w:link w:val="Heading3"/>
    <w:rsid w:val="00A1114F"/>
    <w:rPr>
      <w:rFonts w:ascii="Times New Roman" w:hAnsi="Times New Roman" w:cs="Arial"/>
      <w:bCs/>
      <w:i/>
      <w:sz w:val="24"/>
      <w:szCs w:val="28"/>
      <w:u w:val="single"/>
      <w:lang w:eastAsia="en-GB" w:bidi="th-TH"/>
    </w:rPr>
  </w:style>
  <w:style w:type="paragraph" w:customStyle="1" w:styleId="DBChange">
    <w:name w:val="DBChange"/>
    <w:basedOn w:val="Heading3"/>
    <w:link w:val="DBChangeChar"/>
    <w:rsid w:val="00A1114F"/>
    <w:pPr>
      <w:ind w:left="0" w:firstLine="0"/>
    </w:pPr>
  </w:style>
  <w:style w:type="character" w:customStyle="1" w:styleId="DBChangeChar">
    <w:name w:val="DBChange Char"/>
    <w:basedOn w:val="Heading3Char"/>
    <w:link w:val="DBChange"/>
    <w:rsid w:val="00A1114F"/>
    <w:rPr>
      <w:rFonts w:ascii="Times New Roman" w:hAnsi="Times New Roman" w:cs="Arial"/>
      <w:bCs/>
      <w:i/>
      <w:sz w:val="24"/>
      <w:szCs w:val="28"/>
      <w:u w:val="single"/>
      <w:lang w:eastAsia="en-GB" w:bidi="th-TH"/>
    </w:rPr>
  </w:style>
  <w:style w:type="paragraph" w:styleId="DocumentMap">
    <w:name w:val="Document Map"/>
    <w:basedOn w:val="Normal"/>
    <w:link w:val="DocumentMapChar"/>
    <w:uiPriority w:val="99"/>
    <w:unhideWhenUsed/>
    <w:rsid w:val="00A1114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A1114F"/>
    <w:rPr>
      <w:rFonts w:ascii="Tahoma" w:hAnsi="Tahoma" w:cs="Tahoma"/>
      <w:sz w:val="16"/>
      <w:szCs w:val="16"/>
    </w:rPr>
  </w:style>
  <w:style w:type="character" w:styleId="EndnoteReference">
    <w:name w:val="endnote reference"/>
    <w:basedOn w:val="DefaultParagraphFont"/>
    <w:rsid w:val="00A1114F"/>
    <w:rPr>
      <w:vertAlign w:val="superscript"/>
    </w:rPr>
  </w:style>
  <w:style w:type="paragraph" w:styleId="EndnoteText">
    <w:name w:val="endnote text"/>
    <w:basedOn w:val="Normal"/>
    <w:link w:val="EndnoteTextChar"/>
    <w:rsid w:val="00A1114F"/>
    <w:rPr>
      <w:rFonts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A1114F"/>
    <w:rPr>
      <w:rFonts w:ascii="Times New Roman" w:hAnsi="Times New Roman" w:cs="Times New Roman"/>
      <w:sz w:val="20"/>
      <w:szCs w:val="20"/>
    </w:rPr>
  </w:style>
  <w:style w:type="character" w:customStyle="1" w:styleId="eop">
    <w:name w:val="eop"/>
    <w:basedOn w:val="DefaultParagraphFont"/>
    <w:rsid w:val="00A1114F"/>
  </w:style>
  <w:style w:type="paragraph" w:styleId="Footer">
    <w:name w:val="footer"/>
    <w:basedOn w:val="Normal"/>
    <w:link w:val="FooterChar"/>
    <w:uiPriority w:val="99"/>
    <w:rsid w:val="00A1114F"/>
    <w:pPr>
      <w:tabs>
        <w:tab w:val="center" w:pos="4153"/>
        <w:tab w:val="right" w:pos="8306"/>
      </w:tabs>
    </w:pPr>
    <w:rPr>
      <w:rFonts w:cs="Times New Roman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1114F"/>
    <w:rPr>
      <w:rFonts w:ascii="Times New Roman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A1114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1114F"/>
    <w:rPr>
      <w:rFonts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1114F"/>
    <w:rPr>
      <w:rFonts w:ascii="Times New Roman" w:hAnsi="Times New Roman" w:cs="Times New Roman"/>
      <w:sz w:val="20"/>
      <w:szCs w:val="20"/>
    </w:rPr>
  </w:style>
  <w:style w:type="paragraph" w:customStyle="1" w:styleId="Formulation">
    <w:name w:val="Formulation"/>
    <w:basedOn w:val="Normal"/>
    <w:link w:val="FormulationChar"/>
    <w:qFormat/>
    <w:rsid w:val="00A1114F"/>
    <w:rPr>
      <w:rFonts w:ascii="Cambria Math" w:hAnsi="Cambria Math"/>
      <w:i/>
      <w:lang w:bidi="th-TH"/>
    </w:rPr>
  </w:style>
  <w:style w:type="character" w:customStyle="1" w:styleId="FormulationChar">
    <w:name w:val="Formulation Char"/>
    <w:basedOn w:val="DefaultParagraphFont"/>
    <w:link w:val="Formulation"/>
    <w:locked/>
    <w:rsid w:val="00A1114F"/>
    <w:rPr>
      <w:rFonts w:ascii="Cambria Math" w:hAnsi="Cambria Math"/>
      <w:i/>
      <w:sz w:val="24"/>
      <w:lang w:bidi="th-TH"/>
    </w:rPr>
  </w:style>
  <w:style w:type="paragraph" w:styleId="Header">
    <w:name w:val="header"/>
    <w:basedOn w:val="Normal"/>
    <w:link w:val="HeaderChar"/>
    <w:rsid w:val="00A1114F"/>
    <w:pPr>
      <w:tabs>
        <w:tab w:val="center" w:pos="4153"/>
        <w:tab w:val="right" w:pos="8306"/>
      </w:tabs>
    </w:pPr>
    <w:rPr>
      <w:rFonts w:cs="Times New Roman"/>
      <w:szCs w:val="24"/>
    </w:rPr>
  </w:style>
  <w:style w:type="character" w:customStyle="1" w:styleId="HeaderChar">
    <w:name w:val="Header Char"/>
    <w:basedOn w:val="DefaultParagraphFont"/>
    <w:link w:val="Header"/>
    <w:rsid w:val="00A1114F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aliases w:val="Change Char"/>
    <w:basedOn w:val="DefaultParagraphFont"/>
    <w:link w:val="Heading4"/>
    <w:uiPriority w:val="9"/>
    <w:rsid w:val="00A47344"/>
    <w:rPr>
      <w:rFonts w:ascii="Times New Roman" w:eastAsiaTheme="majorEastAsia" w:hAnsi="Times New Roman" w:cs="Times New Roman"/>
      <w:bCs/>
      <w:i/>
      <w:iCs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A1114F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14F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14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14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14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rsid w:val="00A1114F"/>
    <w:rPr>
      <w:color w:val="0000FF"/>
      <w:u w:val="single"/>
    </w:rPr>
  </w:style>
  <w:style w:type="paragraph" w:styleId="ListBullet5">
    <w:name w:val="List Bullet 5"/>
    <w:basedOn w:val="Normal"/>
    <w:semiHidden/>
    <w:rsid w:val="00A1114F"/>
    <w:pPr>
      <w:numPr>
        <w:numId w:val="15"/>
      </w:numPr>
      <w:spacing w:before="0" w:after="0"/>
    </w:pPr>
    <w:rPr>
      <w:rFonts w:ascii="Arial" w:eastAsia="Times New Roman" w:hAnsi="Arial" w:cs="Times New Roman"/>
      <w:sz w:val="22"/>
      <w:lang w:eastAsia="en-GB"/>
    </w:rPr>
  </w:style>
  <w:style w:type="paragraph" w:customStyle="1" w:styleId="MyAppendix">
    <w:name w:val="My_Appendix"/>
    <w:basedOn w:val="Heading1"/>
    <w:link w:val="MyAppendixChar"/>
    <w:rsid w:val="00A1114F"/>
    <w:pPr>
      <w:numPr>
        <w:numId w:val="16"/>
      </w:numPr>
    </w:pPr>
  </w:style>
  <w:style w:type="character" w:customStyle="1" w:styleId="MyAppendixChar">
    <w:name w:val="My_Appendix Char"/>
    <w:basedOn w:val="Heading1Char"/>
    <w:link w:val="MyAppendix"/>
    <w:rsid w:val="00A1114F"/>
    <w:rPr>
      <w:rFonts w:ascii="Arial" w:hAnsi="Arial" w:cs="Arial"/>
      <w:bCs/>
      <w:kern w:val="32"/>
      <w:sz w:val="24"/>
      <w:szCs w:val="32"/>
    </w:rPr>
  </w:style>
  <w:style w:type="paragraph" w:styleId="NormalWeb">
    <w:name w:val="Normal (Web)"/>
    <w:basedOn w:val="Normal"/>
    <w:uiPriority w:val="99"/>
    <w:unhideWhenUsed/>
    <w:rsid w:val="00A1114F"/>
    <w:pPr>
      <w:spacing w:before="100" w:beforeAutospacing="1" w:after="100" w:afterAutospacing="1"/>
    </w:pPr>
    <w:rPr>
      <w:lang w:eastAsia="en-NZ" w:bidi="th-TH"/>
    </w:rPr>
  </w:style>
  <w:style w:type="character" w:customStyle="1" w:styleId="normaltextrun">
    <w:name w:val="normaltextrun"/>
    <w:basedOn w:val="DefaultParagraphFont"/>
    <w:rsid w:val="00A1114F"/>
  </w:style>
  <w:style w:type="character" w:styleId="PageNumber">
    <w:name w:val="page number"/>
    <w:basedOn w:val="DefaultParagraphFont"/>
    <w:rsid w:val="00A1114F"/>
  </w:style>
  <w:style w:type="paragraph" w:customStyle="1" w:styleId="paragraph">
    <w:name w:val="paragraph"/>
    <w:basedOn w:val="Normal"/>
    <w:rsid w:val="00A1114F"/>
    <w:pPr>
      <w:spacing w:before="100" w:beforeAutospacing="1" w:after="100" w:afterAutospacing="1"/>
    </w:pPr>
    <w:rPr>
      <w:rFonts w:eastAsia="Times New Roman"/>
      <w:lang w:eastAsia="en-NZ"/>
    </w:rPr>
  </w:style>
  <w:style w:type="character" w:styleId="PlaceholderText">
    <w:name w:val="Placeholder Text"/>
    <w:basedOn w:val="DefaultParagraphFont"/>
    <w:uiPriority w:val="99"/>
    <w:semiHidden/>
    <w:rsid w:val="00A1114F"/>
    <w:rPr>
      <w:color w:val="808080"/>
    </w:rPr>
  </w:style>
  <w:style w:type="character" w:customStyle="1" w:styleId="spellingerror">
    <w:name w:val="spellingerror"/>
    <w:basedOn w:val="DefaultParagraphFont"/>
    <w:rsid w:val="00A1114F"/>
  </w:style>
  <w:style w:type="character" w:styleId="Strong">
    <w:name w:val="Strong"/>
    <w:basedOn w:val="DefaultParagraphFont"/>
    <w:uiPriority w:val="22"/>
    <w:rsid w:val="00A1114F"/>
    <w:rPr>
      <w:b/>
      <w:bCs/>
    </w:rPr>
  </w:style>
  <w:style w:type="paragraph" w:customStyle="1" w:styleId="Style1">
    <w:name w:val="Style1"/>
    <w:basedOn w:val="Normal"/>
    <w:rsid w:val="00A1114F"/>
    <w:pPr>
      <w:pBdr>
        <w:bottom w:val="single" w:sz="4" w:space="1" w:color="auto"/>
      </w:pBdr>
    </w:pPr>
    <w:rPr>
      <w:rFonts w:ascii="Arial" w:hAnsi="Arial" w:cs="Arial"/>
      <w:sz w:val="20"/>
      <w:szCs w:val="20"/>
    </w:rPr>
  </w:style>
  <w:style w:type="paragraph" w:customStyle="1" w:styleId="Style2">
    <w:name w:val="Style2"/>
    <w:basedOn w:val="anoindent"/>
    <w:rsid w:val="00A1114F"/>
    <w:pPr>
      <w:numPr>
        <w:numId w:val="17"/>
      </w:numPr>
    </w:pPr>
  </w:style>
  <w:style w:type="paragraph" w:customStyle="1" w:styleId="Style3">
    <w:name w:val="Style3"/>
    <w:basedOn w:val="Heading2"/>
    <w:link w:val="Style3Char"/>
    <w:rsid w:val="00A1114F"/>
    <w:pPr>
      <w:ind w:left="624" w:hanging="624"/>
    </w:pPr>
    <w:rPr>
      <w:i/>
      <w:lang w:eastAsia="en-NZ"/>
    </w:rPr>
  </w:style>
  <w:style w:type="character" w:customStyle="1" w:styleId="Style3Char">
    <w:name w:val="Style3 Char"/>
    <w:basedOn w:val="Heading2Char"/>
    <w:link w:val="Style3"/>
    <w:rsid w:val="00A1114F"/>
    <w:rPr>
      <w:rFonts w:ascii="Times New Roman" w:hAnsi="Times New Roman" w:cs="Arial"/>
      <w:bCs/>
      <w:i/>
      <w:iCs/>
      <w:sz w:val="24"/>
      <w:szCs w:val="28"/>
      <w:u w:val="single"/>
      <w:lang w:eastAsia="en-NZ"/>
    </w:rPr>
  </w:style>
  <w:style w:type="paragraph" w:customStyle="1" w:styleId="TableCourier">
    <w:name w:val="Table Courier"/>
    <w:link w:val="TableCourierChar"/>
    <w:qFormat/>
    <w:rsid w:val="00A1114F"/>
    <w:pPr>
      <w:spacing w:before="120" w:after="0" w:line="240" w:lineRule="auto"/>
    </w:pPr>
    <w:rPr>
      <w:rFonts w:ascii="Courier New" w:eastAsia="Times New Roman" w:hAnsi="Courier New" w:cs="Courier New"/>
      <w:sz w:val="20"/>
      <w:szCs w:val="20"/>
      <w:lang w:eastAsia="en-GB" w:bidi="th-TH"/>
    </w:rPr>
  </w:style>
  <w:style w:type="character" w:customStyle="1" w:styleId="TableCourierChar">
    <w:name w:val="Table Courier Char"/>
    <w:basedOn w:val="DefaultParagraphFont"/>
    <w:link w:val="TableCourier"/>
    <w:rsid w:val="00A1114F"/>
    <w:rPr>
      <w:rFonts w:ascii="Courier New" w:eastAsia="Times New Roman" w:hAnsi="Courier New" w:cs="Courier New"/>
      <w:sz w:val="20"/>
      <w:szCs w:val="20"/>
      <w:lang w:eastAsia="en-GB" w:bidi="th-TH"/>
    </w:rPr>
  </w:style>
  <w:style w:type="table" w:styleId="TableGrid">
    <w:name w:val="Table Grid"/>
    <w:basedOn w:val="TableNormal"/>
    <w:uiPriority w:val="59"/>
    <w:rsid w:val="00A1114F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eastAsia="en-NZ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libri">
    <w:name w:val="TableCalibri"/>
    <w:link w:val="TableCalibriChar"/>
    <w:rsid w:val="00A1114F"/>
    <w:pPr>
      <w:autoSpaceDE w:val="0"/>
      <w:autoSpaceDN w:val="0"/>
      <w:adjustRightInd w:val="0"/>
      <w:spacing w:before="40" w:after="40" w:line="240" w:lineRule="auto"/>
    </w:pPr>
    <w:rPr>
      <w:rFonts w:asciiTheme="majorHAnsi" w:eastAsia="Times New Roman" w:hAnsiTheme="majorHAnsi" w:cstheme="majorHAnsi"/>
      <w:sz w:val="18"/>
      <w:szCs w:val="18"/>
      <w:lang w:eastAsia="en-GB" w:bidi="th-TH"/>
    </w:rPr>
  </w:style>
  <w:style w:type="character" w:customStyle="1" w:styleId="TableCalibriChar">
    <w:name w:val="TableCalibri Char"/>
    <w:basedOn w:val="DefaultParagraphFont"/>
    <w:link w:val="TableCalibri"/>
    <w:rsid w:val="00A1114F"/>
    <w:rPr>
      <w:rFonts w:asciiTheme="majorHAnsi" w:eastAsia="Times New Roman" w:hAnsiTheme="majorHAnsi" w:cstheme="majorHAnsi"/>
      <w:sz w:val="18"/>
      <w:szCs w:val="18"/>
      <w:lang w:eastAsia="en-GB" w:bidi="th-TH"/>
    </w:rPr>
  </w:style>
  <w:style w:type="paragraph" w:customStyle="1" w:styleId="TableTimes">
    <w:name w:val="TableTimes"/>
    <w:link w:val="TableTimesChar"/>
    <w:uiPriority w:val="1"/>
    <w:qFormat/>
    <w:rsid w:val="00695DDD"/>
    <w:pPr>
      <w:spacing w:after="0" w:line="240" w:lineRule="auto"/>
    </w:pPr>
    <w:rPr>
      <w:rFonts w:ascii="Times New Roman" w:hAnsi="Times New Roman" w:cs="Times New Roman"/>
      <w:sz w:val="20"/>
      <w:szCs w:val="20"/>
      <w:lang w:eastAsia="en-GB" w:bidi="th-TH"/>
    </w:rPr>
  </w:style>
  <w:style w:type="character" w:customStyle="1" w:styleId="TableTimesChar">
    <w:name w:val="TableTimes Char"/>
    <w:basedOn w:val="DefaultParagraphFont"/>
    <w:link w:val="TableTimes"/>
    <w:uiPriority w:val="1"/>
    <w:rsid w:val="00695DDD"/>
    <w:rPr>
      <w:rFonts w:ascii="Times New Roman" w:hAnsi="Times New Roman" w:cs="Times New Roman"/>
      <w:sz w:val="20"/>
      <w:szCs w:val="20"/>
      <w:lang w:eastAsia="en-GB" w:bidi="th-TH"/>
    </w:rPr>
  </w:style>
  <w:style w:type="paragraph" w:styleId="Title">
    <w:name w:val="Title"/>
    <w:basedOn w:val="Normal"/>
    <w:next w:val="Normal"/>
    <w:link w:val="TitleChar"/>
    <w:uiPriority w:val="10"/>
    <w:qFormat/>
    <w:rsid w:val="00A1114F"/>
    <w:pPr>
      <w:pBdr>
        <w:bottom w:val="single" w:sz="8" w:space="4" w:color="4472C4" w:themeColor="accent1"/>
      </w:pBdr>
      <w:spacing w:after="300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114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rsid w:val="00A1114F"/>
    <w:rPr>
      <w:rFonts w:cs="Times New Roman"/>
      <w:szCs w:val="24"/>
    </w:rPr>
  </w:style>
  <w:style w:type="paragraph" w:styleId="TOC2">
    <w:name w:val="toc 2"/>
    <w:basedOn w:val="Normal"/>
    <w:next w:val="Normal"/>
    <w:autoRedefine/>
    <w:uiPriority w:val="39"/>
    <w:rsid w:val="00A1114F"/>
    <w:pPr>
      <w:ind w:left="240"/>
    </w:pPr>
    <w:rPr>
      <w:rFonts w:cs="Times New Roman"/>
      <w:i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1114F"/>
    <w:pPr>
      <w:ind w:left="482"/>
    </w:pPr>
    <w:rPr>
      <w:rFonts w:cs="Times New Roman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A1114F"/>
    <w:pPr>
      <w:spacing w:after="100" w:line="276" w:lineRule="auto"/>
      <w:ind w:left="660"/>
    </w:pPr>
    <w:rPr>
      <w:rFonts w:eastAsiaTheme="minorEastAsia"/>
      <w:szCs w:val="28"/>
      <w:lang w:eastAsia="en-NZ" w:bidi="th-TH"/>
    </w:rPr>
  </w:style>
  <w:style w:type="paragraph" w:styleId="TOC5">
    <w:name w:val="toc 5"/>
    <w:basedOn w:val="Normal"/>
    <w:next w:val="Normal"/>
    <w:autoRedefine/>
    <w:uiPriority w:val="39"/>
    <w:unhideWhenUsed/>
    <w:rsid w:val="00A1114F"/>
    <w:pPr>
      <w:spacing w:after="100" w:line="276" w:lineRule="auto"/>
      <w:ind w:left="880"/>
    </w:pPr>
    <w:rPr>
      <w:rFonts w:eastAsiaTheme="minorEastAsia"/>
      <w:szCs w:val="28"/>
      <w:lang w:eastAsia="en-NZ" w:bidi="th-TH"/>
    </w:rPr>
  </w:style>
  <w:style w:type="paragraph" w:styleId="TOC6">
    <w:name w:val="toc 6"/>
    <w:basedOn w:val="Normal"/>
    <w:next w:val="Normal"/>
    <w:autoRedefine/>
    <w:uiPriority w:val="39"/>
    <w:unhideWhenUsed/>
    <w:rsid w:val="00A1114F"/>
    <w:pPr>
      <w:spacing w:after="100" w:line="276" w:lineRule="auto"/>
      <w:ind w:left="1100"/>
    </w:pPr>
    <w:rPr>
      <w:rFonts w:eastAsiaTheme="minorEastAsia"/>
      <w:szCs w:val="28"/>
      <w:lang w:eastAsia="en-NZ" w:bidi="th-TH"/>
    </w:rPr>
  </w:style>
  <w:style w:type="paragraph" w:styleId="TOC7">
    <w:name w:val="toc 7"/>
    <w:basedOn w:val="Normal"/>
    <w:next w:val="Normal"/>
    <w:autoRedefine/>
    <w:uiPriority w:val="39"/>
    <w:unhideWhenUsed/>
    <w:rsid w:val="00A1114F"/>
    <w:pPr>
      <w:spacing w:after="100" w:line="276" w:lineRule="auto"/>
      <w:ind w:left="1320"/>
    </w:pPr>
    <w:rPr>
      <w:rFonts w:eastAsiaTheme="minorEastAsia"/>
      <w:szCs w:val="28"/>
      <w:lang w:eastAsia="en-NZ" w:bidi="th-TH"/>
    </w:rPr>
  </w:style>
  <w:style w:type="paragraph" w:styleId="TOC8">
    <w:name w:val="toc 8"/>
    <w:basedOn w:val="Normal"/>
    <w:next w:val="Normal"/>
    <w:autoRedefine/>
    <w:uiPriority w:val="39"/>
    <w:unhideWhenUsed/>
    <w:rsid w:val="00A1114F"/>
    <w:pPr>
      <w:spacing w:after="100" w:line="276" w:lineRule="auto"/>
      <w:ind w:left="1540"/>
    </w:pPr>
    <w:rPr>
      <w:rFonts w:eastAsiaTheme="minorEastAsia"/>
      <w:szCs w:val="28"/>
      <w:lang w:eastAsia="en-NZ" w:bidi="th-TH"/>
    </w:rPr>
  </w:style>
  <w:style w:type="paragraph" w:styleId="TOC9">
    <w:name w:val="toc 9"/>
    <w:basedOn w:val="Normal"/>
    <w:next w:val="Normal"/>
    <w:autoRedefine/>
    <w:uiPriority w:val="39"/>
    <w:unhideWhenUsed/>
    <w:rsid w:val="00A1114F"/>
    <w:pPr>
      <w:spacing w:after="100" w:line="276" w:lineRule="auto"/>
      <w:ind w:left="1760"/>
    </w:pPr>
    <w:rPr>
      <w:rFonts w:eastAsiaTheme="minorEastAsia"/>
      <w:szCs w:val="28"/>
      <w:lang w:eastAsia="en-NZ" w:bidi="th-TH"/>
    </w:rPr>
  </w:style>
  <w:style w:type="paragraph" w:styleId="TOCHeading">
    <w:name w:val="TOC Heading"/>
    <w:basedOn w:val="Heading1"/>
    <w:next w:val="Normal"/>
    <w:uiPriority w:val="39"/>
    <w:unhideWhenUsed/>
    <w:qFormat/>
    <w:rsid w:val="00A1114F"/>
    <w:pPr>
      <w:keepLines/>
      <w:spacing w:before="480" w:after="0" w:line="276" w:lineRule="auto"/>
      <w:outlineLvl w:val="9"/>
    </w:pPr>
    <w:rPr>
      <w:rFonts w:asciiTheme="majorHAnsi" w:hAnsiTheme="majorHAnsi"/>
      <w:b/>
      <w:bCs w:val="0"/>
      <w:color w:val="2F5496" w:themeColor="accent1" w:themeShade="BF"/>
      <w:kern w:val="0"/>
      <w:sz w:val="28"/>
      <w:szCs w:val="28"/>
      <w:lang w:val="en-US" w:eastAsia="ja-JP"/>
    </w:rPr>
  </w:style>
  <w:style w:type="character" w:customStyle="1" w:styleId="txtbxheader1">
    <w:name w:val="txtbxheader1"/>
    <w:basedOn w:val="DefaultParagraphFont"/>
    <w:rsid w:val="00A1114F"/>
    <w:rPr>
      <w:rFonts w:ascii="Verdana" w:hAnsi="Verdana" w:hint="default"/>
      <w:sz w:val="16"/>
      <w:szCs w:val="16"/>
      <w:bdr w:val="none" w:sz="0" w:space="0" w:color="auto" w:frame="1"/>
    </w:rPr>
  </w:style>
  <w:style w:type="character" w:styleId="UnresolvedMention">
    <w:name w:val="Unresolved Mention"/>
    <w:basedOn w:val="DefaultParagraphFont"/>
    <w:uiPriority w:val="99"/>
    <w:semiHidden/>
    <w:unhideWhenUsed/>
    <w:rsid w:val="00A1114F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rsid w:val="00F16745"/>
    <w:rPr>
      <w:i/>
      <w:iCs/>
    </w:rPr>
  </w:style>
  <w:style w:type="paragraph" w:customStyle="1" w:styleId="xmsonormal">
    <w:name w:val="x_msonormal"/>
    <w:basedOn w:val="Normal"/>
    <w:rsid w:val="006D33CE"/>
    <w:pPr>
      <w:spacing w:before="0" w:after="0"/>
    </w:pPr>
    <w:rPr>
      <w:rFonts w:ascii="Calibri" w:hAnsi="Calibri" w:cs="Calibri"/>
      <w:sz w:val="22"/>
      <w:lang w:eastAsia="en-NZ"/>
    </w:rPr>
  </w:style>
  <w:style w:type="paragraph" w:customStyle="1" w:styleId="xmsolistparagraph">
    <w:name w:val="x_msolistparagraph"/>
    <w:basedOn w:val="Normal"/>
    <w:rsid w:val="006D33CE"/>
    <w:pPr>
      <w:spacing w:before="0" w:after="0"/>
      <w:ind w:left="720"/>
    </w:pPr>
    <w:rPr>
      <w:rFonts w:ascii="Calibri" w:hAnsi="Calibri" w:cs="Calibri"/>
      <w:sz w:val="22"/>
      <w:lang w:eastAsia="en-NZ"/>
    </w:rPr>
  </w:style>
  <w:style w:type="character" w:customStyle="1" w:styleId="ListParagraphChar">
    <w:name w:val="List Paragraph Char"/>
    <w:aliases w:val="IR Bullet Char,PEP Bullets Char,List Item Char,Keystone Numbered List Char,lp1 Char,List Paragraph1 Char,List Paragraph.List 1.0 Char,List Paragraph.List 1.01 Char,List Paragraph.List 1.011 Char,List Paragraph.List 1.02 Char"/>
    <w:link w:val="ListParagraph"/>
    <w:uiPriority w:val="34"/>
    <w:locked/>
    <w:rsid w:val="00C23F6C"/>
    <w:rPr>
      <w:rFonts w:ascii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210B54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A1998-00B1-454B-9FED-712EC364D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9</Pages>
  <Words>2425</Words>
  <Characters>13825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Bullen</dc:creator>
  <cp:keywords/>
  <dc:description/>
  <cp:lastModifiedBy>David Bullen</cp:lastModifiedBy>
  <cp:revision>162</cp:revision>
  <dcterms:created xsi:type="dcterms:W3CDTF">2024-12-12T08:41:00Z</dcterms:created>
  <dcterms:modified xsi:type="dcterms:W3CDTF">2025-01-29T01:23:00Z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504e64-2eb9-4143-98d1-ab3085e5d939_Enabled">
    <vt:lpwstr>true</vt:lpwstr>
  </property>
  <property fmtid="{D5CDD505-2E9C-101B-9397-08002B2CF9AE}" pid="3" name="MSIP_Label_ec504e64-2eb9-4143-98d1-ab3085e5d939_SetDate">
    <vt:lpwstr>2020-11-02T00:06:49Z</vt:lpwstr>
  </property>
  <property fmtid="{D5CDD505-2E9C-101B-9397-08002B2CF9AE}" pid="4" name="MSIP_Label_ec504e64-2eb9-4143-98d1-ab3085e5d939_Method">
    <vt:lpwstr>Standard</vt:lpwstr>
  </property>
  <property fmtid="{D5CDD505-2E9C-101B-9397-08002B2CF9AE}" pid="5" name="MSIP_Label_ec504e64-2eb9-4143-98d1-ab3085e5d939_Name">
    <vt:lpwstr>ec504e64-2eb9-4143-98d1-ab3085e5d939</vt:lpwstr>
  </property>
  <property fmtid="{D5CDD505-2E9C-101B-9397-08002B2CF9AE}" pid="6" name="MSIP_Label_ec504e64-2eb9-4143-98d1-ab3085e5d939_SiteId">
    <vt:lpwstr>cb644580-6519-46f6-a00f-5bac4352068f</vt:lpwstr>
  </property>
  <property fmtid="{D5CDD505-2E9C-101B-9397-08002B2CF9AE}" pid="7" name="MSIP_Label_ec504e64-2eb9-4143-98d1-ab3085e5d939_ActionId">
    <vt:lpwstr>f9a2842e-de59-4d9c-ab6d-25f7d21f9a14</vt:lpwstr>
  </property>
  <property fmtid="{D5CDD505-2E9C-101B-9397-08002B2CF9AE}" pid="8" name="MSIP_Label_ec504e64-2eb9-4143-98d1-ab3085e5d939_ContentBits">
    <vt:lpwstr>0</vt:lpwstr>
  </property>
</Properties>
</file>