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B7280"/>
          <w:sz w:val="22"/>
          <w:szCs w:val="22"/>
        </w:rPr>
        <w:t xml:space="preserve">АО «ЭЗС РусГидро»</w:t>
      </w:r>
    </w:p>
    <w:p>
      <w:pPr>
        <w:pBdr>
          <w:bottom w:val="single" w:color="1F5C8B" w:sz="6" w:space="6"/>
        </w:pBdr>
        <w:spacing w:after="240"/>
      </w:pPr>
      <w:r>
        <w:rPr>
          <w:color w:val="6B7280"/>
          <w:sz w:val="20"/>
          <w:szCs w:val="20"/>
        </w:rPr>
        <w:t xml:space="preserve">Система учёта и аналитики зарядной сети</w:t>
      </w:r>
    </w:p>
    <w:p>
      <w:pPr>
        <w:spacing w:after="60"/>
      </w:pPr>
      <w:r>
        <w:rPr>
          <w:b/>
          <w:bCs/>
          <w:color w:val="0F3A57"/>
          <w:sz w:val="40"/>
          <w:szCs w:val="40"/>
        </w:rPr>
        <w:t xml:space="preserve">Отчёт о доработках приложения</w:t>
      </w:r>
    </w:p>
    <w:p>
      <w:pPr>
        <w:spacing w:after="300"/>
      </w:pPr>
      <w:r>
        <w:rPr>
          <w:color w:val="6B7280"/>
          <w:sz w:val="24"/>
          <w:szCs w:val="24"/>
        </w:rPr>
        <w:t xml:space="preserve">Период: 18–20 июля 2026 г.</w:t>
      </w:r>
    </w:p>
    <w:p>
      <w:pPr>
        <w:spacing w:after="120" w:line="276"/>
      </w:pPr>
      <w:r>
        <w:t xml:space="preserve">За три дня выпущено 40+ изменений. Основной вектор — </w:t>
      </w:r>
      <w:r>
        <w:rPr>
          <w:b/>
          <w:bCs/>
        </w:rPr>
        <w:t xml:space="preserve">достоверность показателей зарядной сети</w:t>
      </w:r>
      <w:r>
        <w:t xml:space="preserve">: метрики приведены к бизнес-смыслу (клиент, а не касание разъёма), очищены от искажений на реальных данных и дополнены анализом состояния актива. Второй вектор — аналитические разрезы реестра, выгрузки и удобство ежедневной работы. Ниже — по темам, с фактами, найденными на боевых данных сети за январь–июль 2026 г.</w:t>
      </w:r>
    </w:p>
    <w:p>
      <w:pPr>
        <w:spacing w:after="100" w:before="120"/>
      </w:pPr>
      <w:r>
        <w:rPr>
          <w:b/>
          <w:bCs/>
          <w:color w:val="0F3A57"/>
          <w:sz w:val="24"/>
          <w:szCs w:val="24"/>
        </w:rPr>
        <w:t xml:space="preserve">Масштаб выпуска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0F3A57"/>
                <w:sz w:val="20"/>
                <w:szCs w:val="20"/>
              </w:rPr>
              <w:t xml:space="preserve">Тематика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0F3A57"/>
                <w:sz w:val="20"/>
                <w:szCs w:val="20"/>
              </w:rPr>
              <w:t xml:space="preserve">Что затронуто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0F3A57"/>
                <w:sz w:val="20"/>
                <w:szCs w:val="20"/>
              </w:rPr>
              <w:t xml:space="preserve">Эффект для заказчика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Достоверность метрик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Обзор сети, визиты, неоплата, полнота реестра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Цифры отражают реальность и пригодны для решений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Аналитика оборудования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28 разрезов реестра, простой портов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Видно, какое железо и как отрабатывает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Отчётность и выгрузки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Сводная Excel, акт сверки, аудит выгрузок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Готовые документы, прослеживаемость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Справочник станций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Идентификация, устойчивость загрузки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Нет задвоения аналитики при переучёте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Удобство работы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Режим отображения, период, мобильная версия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Быстрее и без ошибок в повседневных задачах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Достоверность показателей сети</w:t>
      </w:r>
    </w:p>
    <w:p>
      <w:pPr>
        <w:pStyle w:val="Heading2"/>
      </w:pPr>
      <w:r>
        <w:t xml:space="preserve">1.1. Обзор сети как состояние актива</w:t>
      </w:r>
    </w:p>
    <w:p>
      <w:pPr>
        <w:spacing w:after="120" w:line="276"/>
      </w:pPr>
      <w:r>
        <w:t xml:space="preserve">Раньше обзор отвечал только на вопрос «сколько заработали». Добавлены разрезы, отвечающие «что происходит с активом» — данные были, не хватало правильных вопросов. Найдено на реальной сети: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132 станции из 556 (23,7% парка) не дали ни одной сессии. </w:t>
      </w:r>
      <w:r>
        <w:t xml:space="preserve">Почти четверть парка молчит. Карточка кликабельна и делит их на «не работали никогда» (вопрос запуска) и «замолчали» (вопрос поломки).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Концентрация выручки: верхние 20% станций дают 75%, нижние 20% — 0,1% </w:t>
      </w:r>
      <w:r>
        <w:t xml:space="preserve">(247 ₽ со станции за 7 месяцев). Средняя загрузка сети смешивала полюса и не значила ничего.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Ядро клиентов: 442 человека (4,8% базы) приносят 37,5% выручки; </w:t>
      </w:r>
      <w:r>
        <w:t xml:space="preserve">разовые клиенты (37% базы) — 5,8%. Приоритет — удержание, а не только привлечение.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Регионы: </w:t>
      </w:r>
      <w:r>
        <w:t xml:space="preserve">выручка — Приморье 8,7 млн ₽, Рязань 2,8 млн ₽; проблемные по успеху — Камчатка, Хабаровск, Бурятия.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На первый экран вынесены: </w:t>
      </w:r>
      <w:r>
        <w:t xml:space="preserve">дебиторка ЮЛ, долг розницы, темп месяца (run-rate) и расхождение с реестрами.</w:t>
      </w:r>
    </w:p>
    <w:p>
      <w:pPr>
        <w:pStyle w:val="Heading2"/>
      </w:pPr>
      <w:r>
        <w:t xml:space="preserve">1.2. Успех считается по клиенту, а не по касанию разъёма</w:t>
      </w:r>
    </w:p>
    <w:p>
      <w:pPr>
        <w:spacing w:after="120" w:line="276"/>
      </w:pPr>
      <w:r>
        <w:t xml:space="preserve">Оборудование пишет каждое касание разъёма отдельной строкой. Клиент, у которого зарядка пошла с третьей попытки, давал 3 строки (две «ошибки» и рабочую) — по сырым данным это читалось как брак, хотя человек зарядился. Введено понятие визита: попытки одного клиента на одной станции с разрывом до 15 минут склеиваются в один визит.</w:t>
      </w:r>
    </w:p>
    <w:p>
      <w:pPr>
        <w:spacing w:after="120" w:line="276"/>
      </w:pPr>
      <w:r>
        <w:rPr>
          <w:b/>
          <w:bCs/>
        </w:rPr>
        <w:t xml:space="preserve">Успех сети вырос с «69%» до 89,3% </w:t>
      </w:r>
      <w:r>
        <w:t xml:space="preserve">— и это не приукрашивание, а корректная единица счёта. При этом </w:t>
      </w:r>
      <w:r>
        <w:rPr>
          <w:b/>
          <w:bCs/>
        </w:rPr>
        <w:t xml:space="preserve">повторные попытки не растворяются</w:t>
      </w:r>
      <w:r>
        <w:t xml:space="preserve">, а становятся отдельным адресным показателем качества сети: около 16,7 тыс. визитов прошли с повторами, часть визитов брошена. Успех визита определяется по факту отпуска энергии, а не по служебному флагу оборудования (12 749 строк со статусом «выполнено» отдали 0 кВт·ч).</w:t>
      </w:r>
    </w:p>
    <w:p>
      <w:pPr>
        <w:pStyle w:val="Heading2"/>
      </w:pPr>
      <w:r>
        <w:t xml:space="preserve">1.3. «Без оплаты» — это три разные вещи, их нельзя складывать</w:t>
      </w:r>
    </w:p>
    <w:p>
      <w:pPr>
        <w:spacing w:after="120" w:line="276"/>
      </w:pPr>
      <w:r>
        <w:t xml:space="preserve">Один ярлык «сессия без отметки оплаты» скрывал три разных факта. Теперь они разделены: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Долг розницы — реальная потеря: </w:t>
      </w:r>
      <w:r>
        <w:t xml:space="preserve">30 сессий на 9,5 тыс. ₽ (поимённый реестр должников, с пиком в марте и чистым июнем).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Постоплата юрлиц — штатная дебиторка: </w:t>
      </w:r>
      <w:r>
        <w:t xml:space="preserve">7 385 сессий, 3,02 млн ₽ (сходится с корпоративной выручкой; клиенты платят по счёту за период).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Пробы без энергии — в деньгах ноль, </w:t>
      </w:r>
      <w:r>
        <w:t xml:space="preserve">но раздували долю неоплаты. Вынесены отдельно.</w:t>
      </w:r>
    </w:p>
    <w:p>
      <w:pPr>
        <w:spacing w:after="120" w:line="276"/>
      </w:pPr>
      <w:r>
        <w:rPr>
          <w:i/>
          <w:iCs/>
          <w:color w:val="6B7280"/>
        </w:rPr>
        <w:t xml:space="preserve">Важная поправка: сумма по юрлицам берётся из договорной суммы, а не из прайса — иначе дебиторка клиентов со скидкой (например, каршеринга 25%) завышалась на ~126 тыс. ₽.</w:t>
      </w:r>
    </w:p>
    <w:p>
      <w:pPr>
        <w:pStyle w:val="Heading2"/>
      </w:pPr>
      <w:r>
        <w:t xml:space="preserve">1.4. Недогруженный реестр не выдаём за расхождение</w:t>
      </w:r>
    </w:p>
    <w:p>
      <w:pPr>
        <w:spacing w:after="120" w:line="276"/>
      </w:pPr>
      <w:r>
        <w:t xml:space="preserve">Сверка сессий с реестром энергии сравнивала витрины помесячно. Обнаружено, что в самом реестре есть провалы загрузки (например, июнь был загружен лишь на доли процента). Теперь месяцы с покрытием реестра ниже 60% помечаются «реестр не догружен», в общий процент сходимости не включаются и называются поимённо — иначе неполный источник превращает сверку в дезинформацию. Правило: прежде чем объяснять расхождение витрин, проверяется полнота источника.</w:t>
      </w:r>
    </w:p>
    <w:p>
      <w:r>
        <w:br w:type="page"/>
      </w:r>
    </w:p>
    <w:p>
      <w:pPr>
        <w:pStyle w:val="Heading1"/>
      </w:pPr>
      <w:r>
        <w:t xml:space="preserve">2. Использование оборудования</w:t>
      </w:r>
    </w:p>
    <w:p>
      <w:pPr>
        <w:pStyle w:val="Heading2"/>
      </w:pPr>
      <w:r>
        <w:t xml:space="preserve">2.1. Простой портов — «занятость это ещё не работа»</w:t>
      </w:r>
    </w:p>
    <w:p>
      <w:pPr>
        <w:spacing w:after="120" w:line="276"/>
      </w:pPr>
      <w:r>
        <w:t xml:space="preserve">Отраслевые практики операторов зарядных сетей отдельно считают долю простоя (порт занят, но заряжает медленно или не заряжает). Наша «загрузка» отвечала только «сколько времени порт занят». Добавлен вид «Надёжность → Использование портов».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0F3A57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EEF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0F3A57"/>
                <w:sz w:val="20"/>
                <w:szCs w:val="20"/>
              </w:rPr>
              <w:t xml:space="preserve">Значение по сети (янв–июл)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Простой быстрых (DC) портов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3 274 ч = 8,5% рабочего времени (1 865 сессий)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Худшая станция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Пуркаева (155) — 322 ч простоя = 79% времени DC-портов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Медианная мощность DC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CCS 30,4 кВт · GB/T DC 40,1 · CHAdeMO 15,8 (при номинале 50)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Две поправки, без которых метрика врёт. </w:t>
      </w:r>
      <w:r>
        <w:t xml:space="preserve">Во-первых, простой считается только по быстрым (DC) портам: для медленных (AC) 3 кВт — это паспортная скорость, а не простой. Во-вторых, мощность оценивается по медиане, а не по среднему — короткая сессия давала выброс (5 кВт·ч за минуту читались как 300 кВт). </w:t>
      </w:r>
      <w:r>
        <w:rPr>
          <w:b/>
          <w:bCs/>
        </w:rPr>
        <w:t xml:space="preserve">К проверке с заказчиком: </w:t>
      </w:r>
      <w:r>
        <w:t xml:space="preserve">медиана CHAdeMO 15,8 кВт при номинале 50 — либо ограничение бортовых зарядных устройств авто, либо деградация станций.</w:t>
      </w:r>
    </w:p>
    <w:p>
      <w:pPr>
        <w:pStyle w:val="Heading2"/>
      </w:pPr>
      <w:r>
        <w:t xml:space="preserve">2.2. 28 аналитических разрезов реестра</w:t>
      </w:r>
    </w:p>
    <w:p>
      <w:pPr>
        <w:spacing w:after="120" w:line="276"/>
      </w:pPr>
      <w:r>
        <w:t xml:space="preserve">Реестр сессий теперь строится в 28 группировках (добавлено 13). Два семейства: «оборудование» (бренд, владелец, мощность полосами, класс скорости, тип площадки, протокол, город, порт) и «распределения» (энергия, длительность, фактическая мощность, факт против паспорта, задержка оплаты). Каждый разрез — с итогами; новый разрез добавляется настройкой, без переделки интерфейса.</w:t>
      </w:r>
    </w:p>
    <w:p>
      <w:pPr>
        <w:spacing w:after="120" w:line="276"/>
      </w:pPr>
      <w:r>
        <w:rPr>
          <w:b/>
          <w:bCs/>
        </w:rPr>
        <w:t xml:space="preserve">Ключевая поправка: паспортная мощность — это мощность всей станции, а не одного порта. </w:t>
      </w:r>
      <w:r>
        <w:t xml:space="preserve">150 кВт на 3 разъёма — это 50 кВт на порт. Сравнение сессии с полным паспортом ложно давало 41 тыс. «недобравших» сессий и список «врущих» станций. После деления на число разъёмов картина обратная: большинство портов отрабатывают на 85% и выше.</w:t>
      </w:r>
    </w:p>
    <w:p>
      <w:pPr>
        <w:spacing w:after="120" w:line="276"/>
      </w:pPr>
      <w:r>
        <w:rPr>
          <w:b/>
          <w:bCs/>
        </w:rPr>
        <w:t xml:space="preserve">Замечание по справочнику (НСИ): </w:t>
      </w:r>
      <w:r>
        <w:t xml:space="preserve">бренды оборудования задвоены написаниями («PSS»/«ПСС», «REWATT»/«Rewatt»/«Реватт», «StarCharge» с латинской и русской «С» и др.) — один производитель шёл несколькими строками, сравнение вендоров было некорректным. В отображении названия канонизированы (22 группы свелись к 17); </w:t>
      </w:r>
      <w:r>
        <w:rPr>
          <w:b/>
          <w:bCs/>
        </w:rPr>
        <w:t xml:space="preserve">чистку самого справочника предлагаем провести совместно с заказчиком.</w:t>
      </w:r>
    </w:p>
    <w:p>
      <w:pPr>
        <w:spacing w:after="120" w:line="276"/>
      </w:pPr>
      <w:r>
        <w:t xml:space="preserve">После канонизации видна доля успешно зарядившихся по вендорам: Schneider 87,6%, StarCharge 72,5%, Kostad 71,1%, Светозар 69,2%, Fora 63,2%, ПСС 60,0%, Нартис 54,8%.</w:t>
      </w:r>
    </w:p>
    <w:p>
      <w:r>
        <w:br w:type="page"/>
      </w:r>
    </w:p>
    <w:p>
      <w:pPr>
        <w:pStyle w:val="Heading1"/>
      </w:pPr>
      <w:r>
        <w:t xml:space="preserve">3. Отчётность и выгрузки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Выгрузка сессий с готовой сводной Excel. </w:t>
      </w:r>
      <w:r>
        <w:t xml:space="preserve">В разделе «Выгрузка» появилась кнопка: файл открывается сразу со сводной таблицей (станция × разъём), которую Excel пересчитывает под фактические данные периода.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Акт сверки 1С одним файлом. </w:t>
      </w:r>
      <w:r>
        <w:t xml:space="preserve">Сверка учётных данных с 1С формируется единым документом для отправки.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Русские имена файлов выгрузки </w:t>
      </w:r>
      <w:r>
        <w:t xml:space="preserve">вместо транслита — файлы читаемы сразу после скачивания.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Каждая выгрузка оставляет след в журнале аудита. </w:t>
      </w:r>
      <w:r>
        <w:t xml:space="preserve">Раньше выгрузки реестров и пакетов в бухгалтерию не фиксировались — теперь известно, кто и что выгрузил.</w:t>
      </w:r>
    </w:p>
    <w:p>
      <w:pPr>
        <w:pStyle w:val="Heading1"/>
      </w:pPr>
      <w:r>
        <w:t xml:space="preserve">4. Справочник станций: устойчивость идентификации</w:t>
      </w:r>
    </w:p>
    <w:p>
      <w:pPr>
        <w:spacing w:after="120" w:line="276"/>
      </w:pPr>
      <w:r>
        <w:t xml:space="preserve">Переучёт и переименования станций оператором зарядной сети раньше двоили аналитику. Сделано: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Название станции берётся из реестра оператора, </w:t>
      </w:r>
      <w:r>
        <w:t xml:space="preserve">а не из строки сессии; осмысленная подпись не затирается техническим номером.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Станция откликается на свои прежние номера </w:t>
      </w:r>
      <w:r>
        <w:t xml:space="preserve">— при замене оборудования сессии больше не создают станцию-дубль.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Загрузка станций не падает из-за одной проблемной строки </w:t>
      </w:r>
      <w:r>
        <w:t xml:space="preserve">— остальные строки загружаются, а по каждой незагруженной видно причину.</w:t>
      </w:r>
    </w:p>
    <w:p>
      <w:pPr>
        <w:pStyle w:val="Heading1"/>
      </w:pPr>
      <w:r>
        <w:t xml:space="preserve">5. Корпоративные клиенты</w:t>
      </w:r>
    </w:p>
    <w:p>
      <w:pPr>
        <w:spacing w:after="120" w:line="276"/>
      </w:pPr>
      <w:r>
        <w:t xml:space="preserve">По клику на строку реестра открывается карточка клиента: сводка по договору, объёмам, начислениям и дебиторке — без ухода в отдельные экраны.</w:t>
      </w:r>
    </w:p>
    <w:p>
      <w:pPr>
        <w:pStyle w:val="Heading1"/>
      </w:pPr>
      <w:r>
        <w:t xml:space="preserve">6. Удобство ежедневной работы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Режим отображения «Простой / Расширенный». </w:t>
      </w:r>
      <w:r>
        <w:t xml:space="preserve">Экран можно упростить до главного либо развернуть до всех деталей; критичные для корректности элементы не прячутся никогда, скрытое помечается счётчиком с кнопкой «Включить».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Настройка периода и области учёта — по модели 1С: </w:t>
      </w:r>
      <w:r>
        <w:t xml:space="preserve">выбор ведётся в черновике и применяется по кнопке, «Отмена» возвращает как было; два независимых календаря вместо неудобного парного диапазона, русская локаль.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Область учёта (сеть/регион/станции) доходит до всех экранов. </w:t>
      </w:r>
      <w:r>
        <w:t xml:space="preserve">Устранены места, где дашборд показывал сетевые цифры, игнорируя выбранную область.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Мобильная версия: </w:t>
      </w:r>
      <w:r>
        <w:t xml:space="preserve">исправлена ключевая проблема — с телефона нельзя было сменить период (окно не помещалось на экран); увеличены мелкие элементы управления и упорядочена шапка.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Приглашение сотрудника </w:t>
      </w:r>
      <w:r>
        <w:t xml:space="preserve">теперь даёт готовую ссылку для мессенджера и честно показывает статус письма.</w:t>
      </w:r>
    </w:p>
    <w:p>
      <w:pPr>
        <w:pStyle w:val="Heading1"/>
      </w:pPr>
      <w:r>
        <w:t xml:space="preserve">7. Предлагаемые следующие шаги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Чистка справочника оборудования (НСИ) </w:t>
      </w:r>
      <w:r>
        <w:t xml:space="preserve">— свести задвоенные написания брендов на стороне заказчика (в отображении уже канонизировано).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Проверка CHAdeMO </w:t>
      </w:r>
      <w:r>
        <w:t xml:space="preserve">— выяснить причину заниженной медианной мощности (15,8 кВт при номинале 50).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Дозагрузка реестра энергии </w:t>
      </w:r>
      <w:r>
        <w:t xml:space="preserve">за месяцы с неполным покрытием (в первую очередь июнь) — для корректной сверки витрин.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Развитие аналитики оборудования </w:t>
      </w:r>
      <w:r>
        <w:t xml:space="preserve">— пиковая одновременность зарядок и отказы из-за занятости (требуется телеметрия сверх журнала сессий).</w:t>
      </w:r>
    </w:p>
    <w:p>
      <w:pPr>
        <w:pBdr>
          <w:top w:val="single" w:color="CCCCCC" w:sz="4" w:space="8"/>
        </w:pBdr>
        <w:spacing w:before="300"/>
      </w:pPr>
      <w:r>
        <w:rPr>
          <w:i/>
          <w:iCs/>
          <w:color w:val="6B7280"/>
          <w:sz w:val="20"/>
          <w:szCs w:val="20"/>
        </w:rPr>
        <w:t xml:space="preserve">Все перечисленные доработки проверены на боевых данных сети за январь–июль 2026 г. и развёрнуты в рабочем контуре.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center"/>
    </w:pPr>
    <w:r>
      <w:rPr>
        <w:color w:val="6B7280"/>
        <w:sz w:val="16"/>
        <w:szCs w:val="16"/>
      </w:rPr>
      <w:t xml:space="preserve">Система учёта и аналитики зарядной сети  ·  18–20 июля 2026  ·  стр.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60"/>
      </w:pPr>
      <w:rPr>
        <w:color w:val="1F5C8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C8B" w:sz="4" w:space="4"/>
      </w:pBdr>
      <w:spacing w:after="160" w:before="260"/>
      <w:outlineLvl w:val="0"/>
    </w:pPr>
    <w:rPr>
      <w:rFonts w:ascii="Arial" w:cs="Arial" w:eastAsia="Arial" w:hAnsi="Arial"/>
      <w:b/>
      <w:bCs/>
      <w:color w:val="0F3A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5C8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2026-07-20T05:58:54.816Z</dcterms:created>
  <dcterms:modified xsi:type="dcterms:W3CDTF">2026-07-20T05:58:54.817Z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