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26"/>
          <w:szCs w:val="26"/>
        </w:rPr>
        <w:t xml:space="preserve">ПОЯСНИТЕЛЬНАЯ ЗАПИСКА</w:t>
      </w:r>
    </w:p>
    <w:p>
      <w:pPr>
        <w:spacing w:after="320" w:line="276"/>
        <w:jc w:val="center"/>
      </w:pPr>
      <w:r>
        <w:rPr>
          <w:sz w:val="22"/>
          <w:szCs w:val="22"/>
        </w:rPr>
        <w:t xml:space="preserve">к проекту раздела учётной политики «Идентификация и учёт объектов зарядной инфраструктуры»</w:t>
      </w:r>
    </w:p>
    <w:p>
      <w:pPr>
        <w:pStyle w:val="Heading1"/>
        <w:spacing w:after="160" w:before="300"/>
      </w:pPr>
      <w:r>
        <w:t xml:space="preserve">Зачем потребовался раздел</w:t>
      </w:r>
    </w:p>
    <w:p>
      <w:pPr>
        <w:spacing w:after="140" w:line="276"/>
      </w:pPr>
      <w:r>
        <w:t xml:space="preserve">Сеть зарядных станций описывается словом «станция», за которым скрываются четыре разные вещи: земельный участок, коммерческая точка с вывеской и выручкой, конкретный аппарат и пост отпуска энергии. Пока эти уровни не разведены в учёте, номер станции используется как универсальный ключ. При замене оборудования он остаётся на месте, а объект основных средств меняется, и данные расходятся.</w:t>
      </w:r>
    </w:p>
    <w:p>
      <w:pPr>
        <w:spacing w:after="140" w:line="276"/>
      </w:pPr>
      <w:r>
        <w:t xml:space="preserve">Проект раздела закрепляет то, что уже сложилось на практике, и убирает почву для расхождений: за каждым уровнем закрепляется собственный идентификатор, а внешние коды переводятся в реестр соответствия с историей.</w:t>
      </w:r>
    </w:p>
    <w:p>
      <w:pPr>
        <w:pStyle w:val="Heading1"/>
        <w:spacing w:after="160" w:before="300"/>
      </w:pPr>
      <w:r>
        <w:t xml:space="preserve">На каких фактах построены выводы</w:t>
      </w:r>
    </w:p>
    <w:p>
      <w:pPr>
        <w:spacing w:after="140" w:line="276"/>
      </w:pPr>
      <w:r>
        <w:t xml:space="preserve">Разбор проведён на данных действующей сети по состоянию на 13 августа 2026 года: 607 действующих станций, 154 665 зарядных сессий, договоры и данные систем технического обслуживания.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2871"/>
      </w:tblGrid>
      <w:tr>
        <w:trPr>
          <w:tblHeader/>
        </w:trPr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Показатель</w:t>
            </w:r>
          </w:p>
        </w:tc>
        <w:tc>
          <w:tcPr>
            <w:tcW w:type="dxa" w:w="28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Значение</w:t>
            </w:r>
          </w:p>
        </w:tc>
      </w:tr>
      <w:tr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Действующих станций</w:t>
            </w:r>
          </w:p>
        </w:tc>
        <w:tc>
          <w:tcPr>
            <w:tcW w:type="dxa" w:w="28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607</w:t>
            </w:r>
          </w:p>
        </w:tc>
      </w:tr>
      <w:tr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Станций, стоящих не поодиночке</w:t>
            </w:r>
          </w:p>
        </w:tc>
        <w:tc>
          <w:tcPr>
            <w:tcW w:type="dxa" w:w="28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155 на 57 общих адресах</w:t>
            </w:r>
          </w:p>
        </w:tc>
      </w:tr>
      <w:tr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Номеров, закреплённых более чем за одним объектом</w:t>
            </w:r>
          </w:p>
        </w:tc>
        <w:tc>
          <w:tcPr>
            <w:tcW w:type="dxa" w:w="28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Уникальность заводского номера</w:t>
            </w:r>
          </w:p>
        </w:tc>
        <w:tc>
          <w:tcPr>
            <w:tcW w:type="dxa" w:w="28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602 из 602</w:t>
            </w:r>
          </w:p>
        </w:tc>
      </w:tr>
      <w:tr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Уникальность идентификатора станции в комплексе управления</w:t>
            </w:r>
          </w:p>
        </w:tc>
        <w:tc>
          <w:tcPr>
            <w:tcW w:type="dxa" w:w="28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599 из 599</w:t>
            </w:r>
          </w:p>
        </w:tc>
      </w:tr>
      <w:tr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Уникальность идентификатора OCPP</w:t>
            </w:r>
          </w:p>
        </w:tc>
        <w:tc>
          <w:tcPr>
            <w:tcW w:type="dxa" w:w="28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602 из 602</w:t>
            </w:r>
          </w:p>
        </w:tc>
      </w:tr>
      <w:tr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Станций с инвентарным номером</w:t>
            </w:r>
          </w:p>
        </w:tc>
        <w:tc>
          <w:tcPr>
            <w:tcW w:type="dxa" w:w="28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350 из 607</w:t>
            </w:r>
          </w:p>
        </w:tc>
      </w:tr>
      <w:tr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Станций, отпускающих энергию без инвентарного номера</w:t>
            </w:r>
          </w:p>
        </w:tc>
        <w:tc>
          <w:tcPr>
            <w:tcW w:type="dxa" w:w="28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151</w:t>
            </w:r>
          </w:p>
        </w:tc>
      </w:tr>
    </w:tbl>
    <w:p>
      <w:pPr>
        <w:spacing w:after="200" w:line="276"/>
      </w:pPr>
      <w:r>
        <w:t xml:space="preserve"/>
      </w:r>
    </w:p>
    <w:p>
      <w:pPr>
        <w:spacing w:after="140" w:line="276"/>
      </w:pPr>
      <w:r>
        <w:t xml:space="preserve">Вывод из этих цифр простой: уникальны заводской номер, идентификатор станции в комплексе управления и идентификатор OCPP. Номер сети уникальным не является, поэтому в роли ключа учёта он ошибается на каждой замене оборудования.</w:t>
      </w:r>
    </w:p>
    <w:p>
      <w:pPr>
        <w:pStyle w:val="Heading1"/>
        <w:spacing w:after="160" w:before="300"/>
      </w:pPr>
      <w:r>
        <w:t xml:space="preserve">Что происходило без правил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71"/>
      </w:tblGrid>
      <w:tr>
        <w:trPr>
          <w:tblHeader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Случай</w:t>
            </w:r>
          </w:p>
        </w:tc>
        <w:tc>
          <w:tcPr>
            <w:tcW w:type="dxa" w:w="48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Последствие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 пятнадцати точках Владивостока аппараты одного производителя заменили на другие. Новые станции временно получили номера с суффиксом «-1», затем номера вернули к прежнему виду</w:t>
            </w:r>
          </w:p>
        </w:tc>
        <w:tc>
          <w:tcPr>
            <w:tcW w:type="dxa" w:w="48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11 602 зарядки пришли с номерами вида «581-1», часть выручки полгода числилась за выведенной станцией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Номер 295 носили две станции: работающая и выведенная из эксплуатации</w:t>
            </w:r>
          </w:p>
        </w:tc>
        <w:tc>
          <w:tcPr>
            <w:tcW w:type="dxa" w:w="48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2 382 зарядки и 479 197 рублей выручки числились за выведенным объектом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 точке 110 аппарат заменили, прежний вывели</w:t>
            </w:r>
          </w:p>
        </w:tc>
        <w:tc>
          <w:tcPr>
            <w:tcW w:type="dxa" w:w="48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Две карточки под одним номером; арендная плата 6 600 рублей в месяц осталась за выведенным объектом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Инвентарный номер присваивается при постановке на учёт, но часть станций введена в эксплуатацию без этой процедуры</w:t>
            </w:r>
          </w:p>
        </w:tc>
        <w:tc>
          <w:tcPr>
            <w:tcW w:type="dxa" w:w="48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151 действующая станция принимает заезды, не находясь на балансе: 28 285 зарядок, 6,4 млн рублей выручки</w:t>
            </w:r>
          </w:p>
        </w:tc>
      </w:tr>
    </w:tbl>
    <w:p>
      <w:pPr>
        <w:pStyle w:val="Heading1"/>
        <w:spacing w:after="160" w:before="300"/>
      </w:pPr>
      <w:r>
        <w:t xml:space="preserve">Обоснование ключевых решений проекта</w:t>
      </w:r>
    </w:p>
    <w:p>
      <w:pPr>
        <w:pStyle w:val="Heading2"/>
        <w:spacing w:after="140" w:before="240"/>
      </w:pPr>
      <w:r>
        <w:t xml:space="preserve">Единица учёта основных средств - станция, а не точка</w:t>
      </w:r>
    </w:p>
    <w:p>
      <w:pPr>
        <w:spacing w:after="140" w:line="276"/>
      </w:pPr>
      <w:r>
        <w:t xml:space="preserve">Аппарат можно переместить, заменить, списать отдельно от места установки. Номер точки при этом сохраняется, поскольку остаются вывеска, тариф и договорные отношения с клиентами. Если объектом учёта считать точку, замена оборудования перестаёт отражаться в учёте основных средств, а перемещение аппарата между точками становится неописуемой операцией.</w:t>
      </w:r>
    </w:p>
    <w:p>
      <w:pPr>
        <w:pStyle w:val="Heading2"/>
        <w:spacing w:after="140" w:before="240"/>
      </w:pPr>
      <w:r>
        <w:t xml:space="preserve">Единица аналитики доходов - точка, а не станция</w:t>
      </w:r>
    </w:p>
    <w:p>
      <w:pPr>
        <w:spacing w:after="140" w:line="276"/>
      </w:pPr>
      <w:r>
        <w:t xml:space="preserve">Выручка формируется местом: клиент приезжает на точку, а не к конкретному аппарату. При замене оборудования выручка точки не прерывается, и сопоставление периодов остаётся корректным.</w:t>
      </w:r>
    </w:p>
    <w:p>
      <w:pPr>
        <w:pStyle w:val="Heading2"/>
        <w:spacing w:after="140" w:before="240"/>
      </w:pPr>
      <w:r>
        <w:t xml:space="preserve">Единица прав на землю - площадка</w:t>
      </w:r>
    </w:p>
    <w:p>
      <w:pPr>
        <w:spacing w:after="140" w:line="276"/>
      </w:pPr>
      <w:r>
        <w:t xml:space="preserve">Договор аренды земельного участка один, а станций на нём может быть двенадцать. Без уровня площадки арендную плату не на что распределить, а лимит присоединённой мощности не с чем сопоставить.</w:t>
      </w:r>
    </w:p>
    <w:p>
      <w:pPr>
        <w:pStyle w:val="Heading2"/>
        <w:spacing w:after="140" w:before="240"/>
      </w:pPr>
      <w:r>
        <w:t xml:space="preserve">Инвентарный номер не меняется при перемещении</w:t>
      </w:r>
    </w:p>
    <w:p>
      <w:pPr>
        <w:spacing w:after="140" w:line="276"/>
      </w:pPr>
      <w:r>
        <w:t xml:space="preserve">Это требование учёта основных средств и одновременно единственный способ сохранить историю эксплуатации аппарата при его переносе между точками.</w:t>
      </w:r>
    </w:p>
    <w:p>
      <w:pPr>
        <w:pStyle w:val="Heading2"/>
        <w:spacing w:after="140" w:before="240"/>
      </w:pPr>
      <w:r>
        <w:t xml:space="preserve">Освободившийся номер точки не переиспользуется</w:t>
      </w:r>
    </w:p>
    <w:p>
      <w:pPr>
        <w:spacing w:after="140" w:line="276"/>
      </w:pPr>
      <w:r>
        <w:t xml:space="preserve">Номер, переданный новой точке, объединяет истории двух разных мест. Разделить их впоследствии невозможно: сессии, договоры и заявки уже сопоставлены по номеру.</w:t>
      </w:r>
    </w:p>
    <w:p>
      <w:pPr>
        <w:pStyle w:val="Heading2"/>
        <w:spacing w:after="140" w:before="240"/>
      </w:pPr>
      <w:r>
        <w:t xml:space="preserve">Реестр соответствия вместо перезаписи полей</w:t>
      </w:r>
    </w:p>
    <w:p>
      <w:pPr>
        <w:spacing w:after="140" w:line="276"/>
      </w:pPr>
      <w:r>
        <w:t xml:space="preserve">Коды внешних систем меняются по своим правилам и в свои сроки. Если такой код записывать поверх учётных реквизитов, история теряется, а сведения, поступившие со старым кодом, перестают сопоставляться. Реестр с датами начала и окончания действия сохраняет и то, и другое.</w:t>
      </w:r>
    </w:p>
    <w:p>
      <w:pPr>
        <w:pStyle w:val="Heading1"/>
        <w:spacing w:after="160" w:before="300"/>
      </w:pPr>
      <w:r>
        <w:t xml:space="preserve">Что изменится в работе подразделений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71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Подразделение</w:t>
            </w:r>
          </w:p>
        </w:tc>
        <w:tc>
          <w:tcPr>
            <w:tcW w:type="dxa" w:w="62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Что добавляется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Эксплуатация сети</w:t>
            </w:r>
          </w:p>
        </w:tc>
        <w:tc>
          <w:tcPr>
            <w:tcW w:type="dxa" w:w="62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присвоение номера точки и передача сведений о вводе станции в срок, установленный разделом 6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Бухгалтерская служба</w:t>
            </w:r>
          </w:p>
        </w:tc>
        <w:tc>
          <w:tcPr>
            <w:tcW w:type="dxa" w:w="62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присвоение инвентарного номера в установленный срок; работа со списком станций, введённых в эксплуатацию, но не принятых к учёту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Земельно-имущественные отношения</w:t>
            </w:r>
          </w:p>
        </w:tc>
        <w:tc>
          <w:tcPr>
            <w:tcW w:type="dxa" w:w="62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присвоение номера площадки при оформлении прав на участок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Информационные системы</w:t>
            </w:r>
          </w:p>
        </w:tc>
        <w:tc>
          <w:tcPr>
            <w:tcW w:type="dxa" w:w="62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ведение реестра соответствия внешних идентификаторов и регулярная сверка</w:t>
            </w:r>
          </w:p>
        </w:tc>
      </w:tr>
    </w:tbl>
    <w:p>
      <w:pPr>
        <w:pStyle w:val="Heading1"/>
        <w:spacing w:after="160" w:before="300"/>
      </w:pPr>
      <w:r>
        <w:t xml:space="preserve">Что предлагается не делать</w:t>
      </w:r>
    </w:p>
    <w:p>
      <w:pPr>
        <w:spacing w:after="140" w:line="276"/>
      </w:pPr>
      <w:r>
        <w:t xml:space="preserve">Перенумерация действующих станций не предлагается. Номера используются в 154 665 зарядных сессиях, в договорах, в выгрузках комплекса управления и систем обслуживания. Их замена разорвала бы сопоставление данных, при этом расхождения между номером и оборудованием возникли бы снова при первой же замене аппарата. Проект закрепляет недостающие уровни идентификации, оставляя действующие номера без изменений.</w:t>
      </w:r>
    </w:p>
    <w:p>
      <w:pPr>
        <w:spacing w:after="200" w:line="276"/>
      </w:pPr>
      <w:r>
        <w:t xml:space="preserve"/>
      </w:r>
    </w:p>
    <w:p>
      <w:pPr>
        <w:spacing w:after="140" w:line="276"/>
      </w:pPr>
      <w:r>
        <w:rPr>
          <w:i/>
          <w:iCs/>
          <w:sz w:val="20"/>
          <w:szCs w:val="20"/>
        </w:rPr>
        <w:t xml:space="preserve">Приложение: примеры заполнения реквизитов и перечень расхождений, выявленных в данных сети.</w:t>
      </w:r>
    </w:p>
    <w:sectPr>
      <w:footerReference w:type="default" r:id="rId7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Пояснительная записка к проекту раздела учётной политики</dc:title>
  <dc:creator>ЭлсиПлюс</dc:creator>
  <cp:lastModifiedBy>Un-named</cp:lastModifiedBy>
  <cp:revision>1</cp:revision>
  <dcterms:created xsi:type="dcterms:W3CDTF">2026-08-13T10:53:49.378Z</dcterms:created>
  <dcterms:modified xsi:type="dcterms:W3CDTF">2026-08-13T10:53:49.378Z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