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00"/>
      </w:pPr>
      <w:r>
        <w:t xml:space="preserve">СТАНДАРТ ОРГАНИЗАЦИИ</w:t>
      </w:r>
    </w:p>
    <w:p>
      <w:pPr>
        <w:pStyle w:val="Heading1"/>
        <w:spacing w:after="160" w:before="300"/>
      </w:pPr>
      <w:r>
        <w:t xml:space="preserve">Идентификация и учёт объектов зарядной инфраструктуры</w:t>
      </w:r>
    </w:p>
    <w:p>
      <w:pPr>
        <w:spacing w:after="140" w:line="276"/>
      </w:pPr>
      <w:r>
        <w:t xml:space="preserve">Обозначение: СТО [код организации по ОКПО]-[регистрационный номер]-[год]. Введён впервые.</w:t>
      </w:r>
    </w:p>
    <w:p>
      <w:pPr>
        <w:spacing w:after="140" w:line="276"/>
      </w:pPr>
      <w:r>
        <w:t xml:space="preserve">Редакция 1. Проект. Утверждён: [приказ, номер и дата]. Дата введения в действие: [дата].</w:t>
      </w:r>
    </w:p>
    <w:p>
      <w:pPr>
        <w:spacing w:after="140" w:line="276"/>
      </w:pPr>
      <w:r>
        <w:t xml:space="preserve">Владелец документа: [подразделение]. Периодичность пересмотра: [периодичность пересмотра].</w:t>
      </w:r>
    </w:p>
    <w:p>
      <w:pPr>
        <w:pStyle w:val="Heading1"/>
        <w:spacing w:after="160" w:before="300"/>
      </w:pPr>
      <w:r>
        <w:t xml:space="preserve">1. Назначение и область применения</w:t>
      </w:r>
    </w:p>
    <w:p>
      <w:pPr>
        <w:spacing w:after="140" w:line="276"/>
      </w:pPr>
      <w:r>
        <w:t xml:space="preserve">1.1. Настоящий стандарт устанавливает единые правила идентификации объектов зарядной инфраструктуры, порядок присвоения и изменения идентификаторов, порядок ведения соответствий с идентификаторами внешних систем и требования к использованию идентификаторов в учёте.</w:t>
      </w:r>
    </w:p>
    <w:p>
      <w:pPr>
        <w:spacing w:after="140" w:line="276"/>
      </w:pPr>
      <w:r>
        <w:t xml:space="preserve">1.2. Настоящий стандарт применяется ко всем объектам зарядной инфраструктуры независимо от принадлежности, включая объекты, эксплуатируемые организацией по договорам с третьими лицами.</w:t>
      </w:r>
    </w:p>
    <w:p>
      <w:pPr>
        <w:spacing w:after="140" w:line="276"/>
      </w:pPr>
      <w:r>
        <w:t xml:space="preserve">1.3. Требования настоящего стандарта обязательны для подразделений, участвующих в создании, эксплуатации, обслуживании и учёте объектов зарядной инфраструктуры, а также при разработке и сопровождении информационных систем, в которых объекты регистрируются.</w:t>
      </w:r>
    </w:p>
    <w:p>
      <w:pPr>
        <w:spacing w:after="140" w:line="276"/>
      </w:pPr>
      <w:r>
        <w:t xml:space="preserve">1.4. Настоящий стандарт не устанавливает правила определения первоначальной стоимости объектов и сроков полезного использования, а также порядок начисления амортизации. Эти вопросы регулируются учётной политикой организации (пункт 3.12).</w:t>
      </w:r>
    </w:p>
    <w:p>
      <w:pPr>
        <w:pStyle w:val="Heading1"/>
        <w:spacing w:after="160" w:before="300"/>
      </w:pPr>
      <w:r>
        <w:t xml:space="preserve">2. Термины и определения</w:t>
      </w:r>
    </w:p>
    <w:p>
      <w:pPr>
        <w:spacing w:after="140" w:line="276"/>
      </w:pPr>
      <w:r>
        <w:t xml:space="preserve">2.1. Объект зарядной инфраструктуры (далее - объект) - совокупность площадки, точек обслуживания, станций, точек отпуска и коннекторов, обеспечивающая оказание услуги зарядки. Отдельный уровень объекта именуется наименованием уровня.</w:t>
      </w:r>
    </w:p>
    <w:p>
      <w:pPr>
        <w:spacing w:after="140" w:line="276"/>
      </w:pPr>
      <w:r>
        <w:t xml:space="preserve">2.2. Площадка - земельный участок или его часть, имеющая точку присоединения к электрическим сетям, на которой размещены или планируются к размещению объекты зарядной инфраструктуры.</w:t>
      </w:r>
    </w:p>
    <w:p>
      <w:pPr>
        <w:spacing w:after="140" w:line="276"/>
      </w:pPr>
      <w:r>
        <w:t xml:space="preserve">2.3. Точка обслуживания - коммерческая единица сети, имеющая наименование, режим работы, тарифы и относимую на неё выручку. На одной площадке может располагаться более одной точки обслуживания.</w:t>
      </w:r>
    </w:p>
    <w:p>
      <w:pPr>
        <w:spacing w:after="140" w:line="276"/>
      </w:pPr>
      <w:r>
        <w:t xml:space="preserve">2.4. Станция - единица оборудования, обеспечивающая зарядку транспортных средств, размещённая в точке обслуживания.</w:t>
      </w:r>
    </w:p>
    <w:p>
      <w:pPr>
        <w:spacing w:after="140" w:line="276"/>
      </w:pPr>
      <w:r>
        <w:t xml:space="preserve">2.5. Точка отпуска - функциональная часть станции, обеспечивающая одновременную зарядку не более одного транспортного средства.</w:t>
      </w:r>
    </w:p>
    <w:p>
      <w:pPr>
        <w:spacing w:after="140" w:line="276"/>
      </w:pPr>
      <w:r>
        <w:t xml:space="preserve">2.6. Коннектор - физический разъём точки отпуска, имеющий установленный тип.</w:t>
      </w:r>
    </w:p>
    <w:p>
      <w:pPr>
        <w:spacing w:after="140" w:line="276"/>
      </w:pPr>
      <w:r>
        <w:t xml:space="preserve">2.7. Проект - совокупность мероприятий по созданию, реконструкции или замене объектов на площадке, от принятия решения о проработке земельного участка до ввода объектов в эксплуатацию.</w:t>
      </w:r>
    </w:p>
    <w:p>
      <w:pPr>
        <w:spacing w:after="140" w:line="276"/>
      </w:pPr>
      <w:r>
        <w:t xml:space="preserve">2.8. Технический ключ - идентификатор объекта в информационной системе, присваиваемый информационной системой при создании записи об объекте.</w:t>
      </w:r>
    </w:p>
    <w:p>
      <w:pPr>
        <w:spacing w:after="140" w:line="276"/>
      </w:pPr>
      <w:r>
        <w:t xml:space="preserve">2.9. Номер объекта - номер площадки либо номер точки обслуживания, предназначенный для использования работниками и в документах организации. Заводской номер, инвентарный номер и внешний идентификатор номерами объекта не являются.</w:t>
      </w:r>
    </w:p>
    <w:p>
      <w:pPr>
        <w:spacing w:after="140" w:line="276"/>
      </w:pPr>
      <w:r>
        <w:t xml:space="preserve">2.10. Заводской номер - номер станции, присвоенный изготовителем.</w:t>
      </w:r>
    </w:p>
    <w:p>
      <w:pPr>
        <w:spacing w:after="140" w:line="276"/>
      </w:pPr>
      <w:r>
        <w:t xml:space="preserve">2.11. Инвентарный номер - номер, присваиваемый учётной системой при принятии объекта к бухгалтерскому учёту.</w:t>
      </w:r>
    </w:p>
    <w:p>
      <w:pPr>
        <w:spacing w:after="140" w:line="276"/>
      </w:pPr>
      <w:r>
        <w:t xml:space="preserve">2.12. Внешний идентификатор - идентификатор объекта, применяемый при информационном обмене с внешними системами.</w:t>
      </w:r>
    </w:p>
    <w:p>
      <w:pPr>
        <w:spacing w:after="140" w:line="276"/>
      </w:pPr>
      <w:r>
        <w:t xml:space="preserve">2.13. Код оператора - постоянная часть внешнего идентификатора, обозначающая организацию как сторону информационного обмена.</w:t>
      </w:r>
    </w:p>
    <w:p>
      <w:pPr>
        <w:spacing w:after="140" w:line="276"/>
      </w:pPr>
      <w:r>
        <w:t xml:space="preserve">2.14. Реестр соответствий - регистр информационной системы, в котором фиксируется связь объектов организации с их идентификаторами во внешних системах.</w:t>
      </w:r>
    </w:p>
    <w:p>
      <w:pPr>
        <w:spacing w:after="140" w:line="276"/>
      </w:pPr>
      <w:r>
        <w:t xml:space="preserve">2.15. Замораживающее событие - событие, после наступления которого номер объекта не подлежит изменению. Перечень замораживающих событий установлен пунктом 7.6 настоящего стандарта.</w:t>
      </w:r>
    </w:p>
    <w:p>
      <w:pPr>
        <w:spacing w:after="140" w:line="276"/>
      </w:pPr>
      <w:r>
        <w:t xml:space="preserve">2.16. Владелец объекта - лицо, которому объект принадлежит на праве собственности или ином вещном праве.</w:t>
      </w:r>
    </w:p>
    <w:p>
      <w:pPr>
        <w:spacing w:after="140" w:line="276"/>
      </w:pPr>
      <w:r>
        <w:t xml:space="preserve">2.17. Оператор объекта - лицо, осуществляющее эксплуатацию объекта и оказание услуг зарядки.</w:t>
      </w:r>
    </w:p>
    <w:p>
      <w:pPr>
        <w:spacing w:after="140" w:line="276"/>
      </w:pPr>
      <w:r>
        <w:t xml:space="preserve">2.18. Бренд - коммерческое обозначение сети, под которым объект представлен потребителям.</w:t>
      </w:r>
    </w:p>
    <w:p>
      <w:pPr>
        <w:spacing w:after="140" w:line="276"/>
      </w:pPr>
      <w:r>
        <w:t xml:space="preserve">2.19. Модель расчётов - установленный договором порядок расчётов по объекту, определяющий состав признаваемых организацией доходов.</w:t>
      </w:r>
    </w:p>
    <w:p>
      <w:pPr>
        <w:spacing w:after="140" w:line="276"/>
      </w:pPr>
      <w:r>
        <w:t xml:space="preserve">2.20. Зарядная сессия - завершённый цикл отпуска электрической энергии через точку отпуска.</w:t>
      </w:r>
    </w:p>
    <w:p>
      <w:pPr>
        <w:spacing w:after="140" w:line="276"/>
      </w:pPr>
      <w:r>
        <w:t xml:space="preserve">2.21. Информационная система - информационная система организации, в которой ведётся реестр объектов зарядной инфраструктуры.</w:t>
      </w:r>
    </w:p>
    <w:p>
      <w:pPr>
        <w:spacing w:after="140" w:line="276"/>
      </w:pPr>
      <w:r>
        <w:t xml:space="preserve">2.22. Учётная система - информационная система организации, в которой ведётся бухгалтерский учёт.</w:t>
      </w:r>
    </w:p>
    <w:p>
      <w:pPr>
        <w:spacing w:after="140" w:line="276"/>
      </w:pPr>
      <w:r>
        <w:t xml:space="preserve">2.23. Внешняя система - информационная система, не принадлежащая организации, с которой осуществляется информационный обмен сведениями об объектах.</w:t>
      </w:r>
    </w:p>
    <w:p>
      <w:pPr>
        <w:pStyle w:val="Heading1"/>
        <w:spacing w:after="160" w:before="300"/>
      </w:pPr>
      <w:r>
        <w:t xml:space="preserve">3. Нормативные ссылки</w:t>
      </w:r>
    </w:p>
    <w:p>
      <w:pPr>
        <w:spacing w:after="140" w:line="276"/>
      </w:pPr>
      <w:r>
        <w:t xml:space="preserve">3.1. Федеральный закон от 26.06.2008 № 102-ФЗ «Об обеспечении единства измерений».</w:t>
      </w:r>
    </w:p>
    <w:p>
      <w:pPr>
        <w:spacing w:after="140" w:line="276"/>
      </w:pPr>
      <w:r>
        <w:t xml:space="preserve">3.2. Федеральный стандарт бухгалтерского учёта ФСБУ 6/2020 «Основные средства», утверждённый приказом Министерства финансов Российской Федерации от 17.09.2020 № 204н.</w:t>
      </w:r>
    </w:p>
    <w:p>
      <w:pPr>
        <w:spacing w:after="140" w:line="276"/>
      </w:pPr>
      <w:r>
        <w:t xml:space="preserve">3.3. Федеральный стандарт бухгалтерского учёта ФСБУ 26/2020 «Капитальные вложения», утверждённый приказом Министерства финансов Российской Федерации от 17.09.2020 № 204н.</w:t>
      </w:r>
    </w:p>
    <w:p>
      <w:pPr>
        <w:spacing w:after="140" w:line="276"/>
      </w:pPr>
      <w:r>
        <w:t xml:space="preserve">3.4. Федеральный стандарт бухгалтерского учёта ФСБУ 25/2018 «Бухгалтерский учёт аренды», утверждённый приказом Министерства финансов Российской Федерации от 16.10.2018 № 208н.</w:t>
      </w:r>
    </w:p>
    <w:p>
      <w:pPr>
        <w:spacing w:after="140" w:line="276"/>
      </w:pPr>
      <w:r>
        <w:t xml:space="preserve">3.5. Приказ Министерства цифрового развития, связи и массовых коммуникаций Российской Федерации от 26.01.2024 № 55 «Об установлении характеристик программного обеспечения оборудования объектов зарядной инфраструктуры для быстрой зарядки электрического автомобильного транспорта» (зарегистрирован в Министерстве юстиции Российской Федерации 19.02.2024, регистрационный № 77303).</w:t>
      </w:r>
    </w:p>
    <w:p>
      <w:pPr>
        <w:spacing w:after="140" w:line="276"/>
      </w:pPr>
      <w:r>
        <w:t xml:space="preserve">3.6. ГОСТ Р 58122-2018 (ИСО 15118-1:2013) «Транспорт дорожный. Интерфейс связи автомобиль - электрическая сеть. Часть 1. Общая информация и определение случаев использования».</w:t>
      </w:r>
    </w:p>
    <w:p>
      <w:pPr>
        <w:spacing w:after="140" w:line="276"/>
      </w:pPr>
      <w:r>
        <w:t xml:space="preserve">3.7. Федеральный закон от 06.12.2011 № 402-ФЗ «О бухгалтерском учёте».</w:t>
      </w:r>
    </w:p>
    <w:p>
      <w:pPr>
        <w:spacing w:after="140" w:line="276"/>
      </w:pPr>
      <w:r>
        <w:t xml:space="preserve">3.8. Федеральный стандарт бухгалтерского учёта ФСБУ 28/2023 «Инвентаризация», утверждённый приказом Министерства финансов Российской Федерации от 13.01.2023 № 4н.</w:t>
      </w:r>
    </w:p>
    <w:p>
      <w:pPr>
        <w:spacing w:after="140" w:line="276"/>
      </w:pPr>
      <w:r>
        <w:t xml:space="preserve">3.9. Постановление Государственного комитета Российской Федерации по статистике от 21.01.2003 № 7 «Об утверждении унифицированных форм первичной учётной документации по учёту основных средств».</w:t>
      </w:r>
    </w:p>
    <w:p>
      <w:pPr>
        <w:spacing w:after="140" w:line="276"/>
      </w:pPr>
      <w:r>
        <w:t xml:space="preserve">3.10. Постановление Государственного комитета Российской Федерации по статистике от 11.11.1999 № 100 «Об утверждении унифицированных форм первичной учётной документации по учёту работ в капитальном строительстве и ремонтно-строительных работ».</w:t>
      </w:r>
    </w:p>
    <w:p>
      <w:pPr>
        <w:spacing w:after="140" w:line="276"/>
      </w:pPr>
      <w:r>
        <w:t xml:space="preserve">3.11. Постановление Правительства Российской Федерации от 27.12.2004 № 861 в части Правил технологического присоединения энергопринимающих устройств потребителей электрической энергии к электрическим сетям.</w:t>
      </w:r>
    </w:p>
    <w:p>
      <w:pPr>
        <w:spacing w:after="140" w:line="276"/>
      </w:pPr>
      <w:r>
        <w:t xml:space="preserve">3.12. Учётная политика организации, раздел «Идентификация объектов основных средств и аналитический учёт сети зарядной инфраструктуры».</w:t>
      </w:r>
    </w:p>
    <w:p>
      <w:pPr>
        <w:pStyle w:val="Heading1"/>
        <w:spacing w:after="160" w:before="300"/>
      </w:pPr>
      <w:r>
        <w:t xml:space="preserve">4. Общие положения</w:t>
      </w:r>
    </w:p>
    <w:p>
      <w:pPr>
        <w:spacing w:after="140" w:line="276"/>
      </w:pPr>
      <w:r>
        <w:t xml:space="preserve">4.1. Объект зарядной инфраструктуры описывается пятью уровнями: площадка, точка обслуживания, станция, точка отпуска, коннектор. Смешение уровней при регистрации, учёте и информационном обмене не допускается.</w:t>
      </w:r>
    </w:p>
    <w:p>
      <w:pPr>
        <w:spacing w:after="140" w:line="276"/>
      </w:pPr>
      <w:r>
        <w:t xml:space="preserve">4.2. Каждому объекту присваиваются раздельно технический ключ и номер объекта. Точке отпуска при необходимости информационного обмена присваивается также внешний идентификатор. Совмещение указанных идентификаторов в одном значении не допускается.</w:t>
      </w:r>
    </w:p>
    <w:p>
      <w:pPr>
        <w:spacing w:after="140" w:line="276"/>
      </w:pPr>
      <w:r>
        <w:t xml:space="preserve">4.3. Номера объектов и технические ключи присваиваются информационной системой, инвентарный номер - учётной системой, заводской номер - изготовителем. Изменение номера объекта работником допускается в случаях, предусмотренных пунктом 7.4.</w:t>
      </w:r>
    </w:p>
    <w:p>
      <w:pPr>
        <w:spacing w:after="140" w:line="276"/>
      </w:pPr>
      <w:r>
        <w:t xml:space="preserve">4.4. Освободившиеся номера объектов и технические ключи выведенных объектов повторному использованию не подлежат.</w:t>
      </w:r>
    </w:p>
    <w:p>
      <w:pPr>
        <w:spacing w:after="140" w:line="276"/>
      </w:pPr>
      <w:r>
        <w:t xml:space="preserve">4.5. Сведения о принадлежности, операторе, бренде, технических характеристиках и стоимости объекта хранятся реквизитами объекта и в состав идентификатора не включаются. Определение указанных сведений по значению идентификатора не допускается. Структурные элементы номеров, установленные приложением А, применяются исключительно для обеспечения уникальности значения и самостоятельного учётного значения не имеют.</w:t>
      </w:r>
    </w:p>
    <w:p>
      <w:pPr>
        <w:spacing w:after="140" w:line="276"/>
      </w:pPr>
      <w:r>
        <w:t xml:space="preserve">4.6. Станция признаётся инвентарным объектом основных средств. Части станции, стоимость и срок полезного использования которых существенно отличаются от стоимости и срока полезного использования станции в целом, признаются самостоятельными инвентарными объектами в порядке, установленном учётной политикой организации. Точка обслуживания, точка отпуска и коннектор самостоятельными единицами бухгалтерского учёта основных средств не признаются, за исключением случая, предусмотренного настоящим пунктом.</w:t>
      </w:r>
    </w:p>
    <w:p>
      <w:pPr>
        <w:pStyle w:val="Heading1"/>
        <w:spacing w:after="160" w:before="300"/>
      </w:pPr>
      <w:r>
        <w:t xml:space="preserve">5. Уровни объектов и единицы учёта</w:t>
      </w:r>
    </w:p>
    <w:p>
      <w:pPr>
        <w:spacing w:after="140" w:line="276"/>
      </w:pPr>
      <w:r>
        <w:t xml:space="preserve">5.1. Соответствие уровней объектов и предметов учёта устанавливается следующим образом.</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5"/>
      </w:tblGrid>
      <w:tr>
        <w:trPr>
          <w:tblHeader/>
        </w:trPr>
        <w:tc>
          <w:tcPr>
            <w:tcW w:type="dxa" w:w="3023"/>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pPr>
              <w:spacing w:after="0" w:line="250"/>
            </w:pPr>
            <w:r>
              <w:rPr>
                <w:b/>
                <w:bCs/>
                <w:sz w:val="19"/>
                <w:szCs w:val="19"/>
              </w:rPr>
              <w:t xml:space="preserve">Уровень</w:t>
            </w:r>
          </w:p>
        </w:tc>
        <w:tc>
          <w:tcPr>
            <w:tcW w:type="dxa" w:w="3023"/>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pPr>
              <w:spacing w:after="0" w:line="250"/>
            </w:pPr>
            <w:r>
              <w:rPr>
                <w:b/>
                <w:bCs/>
                <w:sz w:val="19"/>
                <w:szCs w:val="19"/>
              </w:rPr>
              <w:t xml:space="preserve">Предмет учёта</w:t>
            </w:r>
          </w:p>
        </w:tc>
        <w:tc>
          <w:tcPr>
            <w:tcW w:type="dxa" w:w="3025"/>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pPr>
              <w:spacing w:after="0" w:line="250"/>
            </w:pPr>
            <w:r>
              <w:rPr>
                <w:b/>
                <w:bCs/>
                <w:sz w:val="19"/>
                <w:szCs w:val="19"/>
              </w:rPr>
              <w:t xml:space="preserve">Реквизиты уровня</w:t>
            </w:r>
          </w:p>
        </w:tc>
      </w:tr>
      <w:tr>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Площадка</w:t>
            </w:r>
          </w:p>
        </w:tc>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права на земельный участок, технологическое присоединение</w:t>
            </w:r>
          </w:p>
        </w:tc>
        <w:tc>
          <w:tcPr>
            <w:tcW w:type="dxa" w:w="3025"/>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номер площадки, адрес, координаты, кадастровый номер, максимальная мощность по документам о технологическом присоединении, договор аренды</w:t>
            </w:r>
          </w:p>
        </w:tc>
      </w:tr>
      <w:tr>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Точка обслуживания</w:t>
            </w:r>
          </w:p>
        </w:tc>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аналитика доходов</w:t>
            </w:r>
          </w:p>
        </w:tc>
        <w:tc>
          <w:tcPr>
            <w:tcW w:type="dxa" w:w="3025"/>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номер точки обслуживания, наименование, состояние, режим работы, тарифы, договоры</w:t>
            </w:r>
          </w:p>
        </w:tc>
      </w:tr>
      <w:tr>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Станция</w:t>
            </w:r>
          </w:p>
        </w:tc>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инвентарный объект основных средств</w:t>
            </w:r>
          </w:p>
        </w:tc>
        <w:tc>
          <w:tcPr>
            <w:tcW w:type="dxa" w:w="3025"/>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заводской номер, инвентарный номер, состояние, дата ввода, дата вывода, владелец, оператор, бренд</w:t>
            </w:r>
          </w:p>
        </w:tc>
      </w:tr>
      <w:tr>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Точка отпуска</w:t>
            </w:r>
          </w:p>
        </w:tc>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единица информационного обмена</w:t>
            </w:r>
          </w:p>
        </w:tc>
        <w:tc>
          <w:tcPr>
            <w:tcW w:type="dxa" w:w="3025"/>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номер в пределах станции, внешний идентификатор</w:t>
            </w:r>
          </w:p>
        </w:tc>
      </w:tr>
      <w:tr>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Коннектор</w:t>
            </w:r>
          </w:p>
        </w:tc>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характеристика точки отпуска</w:t>
            </w:r>
          </w:p>
        </w:tc>
        <w:tc>
          <w:tcPr>
            <w:tcW w:type="dxa" w:w="3025"/>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номер в пределах точки отпуска, тип разъёма, мощность</w:t>
            </w:r>
          </w:p>
        </w:tc>
      </w:tr>
    </w:tbl>
    <w:p>
      <w:pPr>
        <w:spacing w:after="120" w:line="276"/>
      </w:pPr>
      <w:r>
        <w:t xml:space="preserve"/>
      </w:r>
    </w:p>
    <w:p>
      <w:pPr>
        <w:spacing w:after="140" w:line="276"/>
      </w:pPr>
      <w:r>
        <w:t xml:space="preserve">5.2. Выручка отражается в аналитическом учёте в разрезе точки обслуживания. Замена станции в точке обслуживания не прерывает аналитический учёт выручки этой точки обслуживания.</w:t>
      </w:r>
    </w:p>
    <w:p>
      <w:pPr>
        <w:spacing w:after="140" w:line="276"/>
      </w:pPr>
      <w:r>
        <w:t xml:space="preserve">5.3. Перемещение станции между точками обслуживания не влечёт изменения инвентарного номера и присвоения нового инвентарного номера.</w:t>
      </w:r>
    </w:p>
    <w:p>
      <w:pPr>
        <w:spacing w:after="140" w:line="276"/>
      </w:pPr>
      <w:r>
        <w:t xml:space="preserve">5.4. Затраты на технологическое присоединение относятся на [площадку либо станцию] в соответствии с учётной политикой организации.</w:t>
      </w:r>
    </w:p>
    <w:p>
      <w:pPr>
        <w:spacing w:after="140" w:line="276"/>
      </w:pPr>
      <w:r>
        <w:t xml:space="preserve">5.5. До принятия к бухгалтерскому учёту оборудование учитывается в составе оборудования, требующего монтажа, либо в составе капитальных вложений в соответствии с учётной политикой организации.</w:t>
      </w:r>
    </w:p>
    <w:p>
      <w:pPr>
        <w:pStyle w:val="Heading1"/>
        <w:spacing w:after="160" w:before="300"/>
      </w:pPr>
      <w:r>
        <w:t xml:space="preserve">6. Состав идентификаторов</w:t>
      </w:r>
    </w:p>
    <w:p>
      <w:pPr>
        <w:spacing w:after="140" w:line="276"/>
      </w:pPr>
      <w:r>
        <w:t xml:space="preserve">6.1. Состав идентификаторов объектов устанавливается следующим образом.</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70"/>
      </w:tblGrid>
      <w:tr>
        <w:trPr>
          <w:tblHeader/>
        </w:trPr>
        <w:tc>
          <w:tcPr>
            <w:tcW w:type="dxa" w:w="2267"/>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pPr>
              <w:spacing w:after="0" w:line="250"/>
            </w:pPr>
            <w:r>
              <w:rPr>
                <w:b/>
                <w:bCs/>
                <w:sz w:val="19"/>
                <w:szCs w:val="19"/>
              </w:rPr>
              <w:t xml:space="preserve">Идентификатор</w:t>
            </w:r>
          </w:p>
        </w:tc>
        <w:tc>
          <w:tcPr>
            <w:tcW w:type="dxa" w:w="2267"/>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pPr>
              <w:spacing w:after="0" w:line="250"/>
            </w:pPr>
            <w:r>
              <w:rPr>
                <w:b/>
                <w:bCs/>
                <w:sz w:val="19"/>
                <w:szCs w:val="19"/>
              </w:rPr>
              <w:t xml:space="preserve">Уровень</w:t>
            </w:r>
          </w:p>
        </w:tc>
        <w:tc>
          <w:tcPr>
            <w:tcW w:type="dxa" w:w="2267"/>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pPr>
              <w:spacing w:after="0" w:line="250"/>
            </w:pPr>
            <w:r>
              <w:rPr>
                <w:b/>
                <w:bCs/>
                <w:sz w:val="19"/>
                <w:szCs w:val="19"/>
              </w:rPr>
              <w:t xml:space="preserve">Источник присвоения</w:t>
            </w:r>
          </w:p>
        </w:tc>
        <w:tc>
          <w:tcPr>
            <w:tcW w:type="dxa" w:w="2270"/>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pPr>
              <w:spacing w:after="0" w:line="250"/>
            </w:pPr>
            <w:r>
              <w:rPr>
                <w:b/>
                <w:bCs/>
                <w:sz w:val="19"/>
                <w:szCs w:val="19"/>
              </w:rPr>
              <w:t xml:space="preserve">Изменяемость</w:t>
            </w:r>
          </w:p>
        </w:tc>
      </w:tr>
      <w:tr>
        <w:tc>
          <w:tcPr>
            <w:tcW w:type="dxa" w:w="2267"/>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Технический ключ</w:t>
            </w:r>
          </w:p>
        </w:tc>
        <w:tc>
          <w:tcPr>
            <w:tcW w:type="dxa" w:w="2267"/>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все уровни</w:t>
            </w:r>
          </w:p>
        </w:tc>
        <w:tc>
          <w:tcPr>
            <w:tcW w:type="dxa" w:w="2267"/>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информационная система</w:t>
            </w:r>
          </w:p>
        </w:tc>
        <w:tc>
          <w:tcPr>
            <w:tcW w:type="dxa" w:w="2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не изменяется</w:t>
            </w:r>
          </w:p>
        </w:tc>
      </w:tr>
      <w:tr>
        <w:tc>
          <w:tcPr>
            <w:tcW w:type="dxa" w:w="2267"/>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Номер площадки</w:t>
            </w:r>
          </w:p>
        </w:tc>
        <w:tc>
          <w:tcPr>
            <w:tcW w:type="dxa" w:w="2267"/>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площадка</w:t>
            </w:r>
          </w:p>
        </w:tc>
        <w:tc>
          <w:tcPr>
            <w:tcW w:type="dxa" w:w="2267"/>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информационная система</w:t>
            </w:r>
          </w:p>
        </w:tc>
        <w:tc>
          <w:tcPr>
            <w:tcW w:type="dxa" w:w="2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до замораживающего события</w:t>
            </w:r>
          </w:p>
        </w:tc>
      </w:tr>
      <w:tr>
        <w:tc>
          <w:tcPr>
            <w:tcW w:type="dxa" w:w="2267"/>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Номер точки обслуживания</w:t>
            </w:r>
          </w:p>
        </w:tc>
        <w:tc>
          <w:tcPr>
            <w:tcW w:type="dxa" w:w="2267"/>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точка обслуживания</w:t>
            </w:r>
          </w:p>
        </w:tc>
        <w:tc>
          <w:tcPr>
            <w:tcW w:type="dxa" w:w="2267"/>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информационная система</w:t>
            </w:r>
          </w:p>
        </w:tc>
        <w:tc>
          <w:tcPr>
            <w:tcW w:type="dxa" w:w="2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до замораживающего события</w:t>
            </w:r>
          </w:p>
        </w:tc>
      </w:tr>
      <w:tr>
        <w:tc>
          <w:tcPr>
            <w:tcW w:type="dxa" w:w="2267"/>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Номер проекта</w:t>
            </w:r>
          </w:p>
        </w:tc>
        <w:tc>
          <w:tcPr>
            <w:tcW w:type="dxa" w:w="2267"/>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проект</w:t>
            </w:r>
          </w:p>
        </w:tc>
        <w:tc>
          <w:tcPr>
            <w:tcW w:type="dxa" w:w="2267"/>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информационная система</w:t>
            </w:r>
          </w:p>
        </w:tc>
        <w:tc>
          <w:tcPr>
            <w:tcW w:type="dxa" w:w="2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не изменяется</w:t>
            </w:r>
          </w:p>
        </w:tc>
      </w:tr>
      <w:tr>
        <w:tc>
          <w:tcPr>
            <w:tcW w:type="dxa" w:w="2267"/>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Заводской номер</w:t>
            </w:r>
          </w:p>
        </w:tc>
        <w:tc>
          <w:tcPr>
            <w:tcW w:type="dxa" w:w="2267"/>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станция</w:t>
            </w:r>
          </w:p>
        </w:tc>
        <w:tc>
          <w:tcPr>
            <w:tcW w:type="dxa" w:w="2267"/>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изготовитель</w:t>
            </w:r>
          </w:p>
        </w:tc>
        <w:tc>
          <w:tcPr>
            <w:tcW w:type="dxa" w:w="2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не изменяется</w:t>
            </w:r>
          </w:p>
        </w:tc>
      </w:tr>
      <w:tr>
        <w:tc>
          <w:tcPr>
            <w:tcW w:type="dxa" w:w="2267"/>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Инвентарный номер</w:t>
            </w:r>
          </w:p>
        </w:tc>
        <w:tc>
          <w:tcPr>
            <w:tcW w:type="dxa" w:w="2267"/>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станция</w:t>
            </w:r>
          </w:p>
        </w:tc>
        <w:tc>
          <w:tcPr>
            <w:tcW w:type="dxa" w:w="2267"/>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учётная система при принятии станции к бухгалтерскому учёту</w:t>
            </w:r>
          </w:p>
        </w:tc>
        <w:tc>
          <w:tcPr>
            <w:tcW w:type="dxa" w:w="2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не изменяется</w:t>
            </w:r>
          </w:p>
        </w:tc>
      </w:tr>
      <w:tr>
        <w:tc>
          <w:tcPr>
            <w:tcW w:type="dxa" w:w="2267"/>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Номер точки отпуска</w:t>
            </w:r>
          </w:p>
        </w:tc>
        <w:tc>
          <w:tcPr>
            <w:tcW w:type="dxa" w:w="2267"/>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точка отпуска</w:t>
            </w:r>
          </w:p>
        </w:tc>
        <w:tc>
          <w:tcPr>
            <w:tcW w:type="dxa" w:w="2267"/>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информационная система, в пределах станции</w:t>
            </w:r>
          </w:p>
        </w:tc>
        <w:tc>
          <w:tcPr>
            <w:tcW w:type="dxa" w:w="2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не изменяется</w:t>
            </w:r>
          </w:p>
        </w:tc>
      </w:tr>
      <w:tr>
        <w:tc>
          <w:tcPr>
            <w:tcW w:type="dxa" w:w="2267"/>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Номер коннектора</w:t>
            </w:r>
          </w:p>
        </w:tc>
        <w:tc>
          <w:tcPr>
            <w:tcW w:type="dxa" w:w="2267"/>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коннектор</w:t>
            </w:r>
          </w:p>
        </w:tc>
        <w:tc>
          <w:tcPr>
            <w:tcW w:type="dxa" w:w="2267"/>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информационная система, в пределах точки отпуска</w:t>
            </w:r>
          </w:p>
        </w:tc>
        <w:tc>
          <w:tcPr>
            <w:tcW w:type="dxa" w:w="2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не изменяется</w:t>
            </w:r>
          </w:p>
        </w:tc>
      </w:tr>
      <w:tr>
        <w:tc>
          <w:tcPr>
            <w:tcW w:type="dxa" w:w="2267"/>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Внешний идентификатор</w:t>
            </w:r>
          </w:p>
        </w:tc>
        <w:tc>
          <w:tcPr>
            <w:tcW w:type="dxa" w:w="2267"/>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точка отпуска</w:t>
            </w:r>
          </w:p>
        </w:tc>
        <w:tc>
          <w:tcPr>
            <w:tcW w:type="dxa" w:w="2267"/>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организация в порядке, установленном пунктом 11.4 и приложением А</w:t>
            </w:r>
          </w:p>
        </w:tc>
        <w:tc>
          <w:tcPr>
            <w:tcW w:type="dxa" w:w="227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изменяется в порядке, установленном разделом 11, прекращает действие при выбытии объекта</w:t>
            </w:r>
          </w:p>
        </w:tc>
      </w:tr>
    </w:tbl>
    <w:p>
      <w:pPr>
        <w:spacing w:after="120" w:line="276"/>
      </w:pPr>
      <w:r>
        <w:t xml:space="preserve"/>
      </w:r>
    </w:p>
    <w:p>
      <w:pPr>
        <w:spacing w:after="140" w:line="276"/>
      </w:pPr>
      <w:r>
        <w:t xml:space="preserve">6.2. Идентификаторы, присваиваемые внешними системами (идентификаторы внешних систем аналитики, обслуживания, управления зарядкой и бухгалтерских систем контрагентов), в состав идентификаторов объекта не входят и подлежат ведению в реестре соответствий в порядке, установленном разделом 8.</w:t>
      </w:r>
    </w:p>
    <w:p>
      <w:pPr>
        <w:spacing w:after="140" w:line="276"/>
      </w:pPr>
      <w:r>
        <w:t xml:space="preserve">6.3. Сопоставление объектов при загрузке сведений из внешних систем производится в пределах одного уровня. Ключами сопоставления станции являются, в порядке убывания приоритета: значение, зафиксированное в реестре соответствий; заводской номер. Ключом сопоставления точки обслуживания является её номер при условии, что номер закреплён за одним объектом. Ключом сопоставления точки отпуска является внешний идентификатор. Наименование объекта ключом сопоставления не является. Географические координаты применяются исключительно при загрузке из источников, не содержащих ни одного из перечисленных ключей, с отражением результата в результатах контроля и подтверждением работником.</w:t>
      </w:r>
    </w:p>
    <w:p>
      <w:pPr>
        <w:spacing w:after="140" w:line="276"/>
      </w:pPr>
      <w:r>
        <w:t xml:space="preserve">6.4. Инвентарный номер присваивается объекту при принятии его к бухгалтерскому учёту. Эксплуатация станции, принадлежащей организации и не имеющей инвентарного номера, подлежит отражению в результатах контроля в порядке, установленном разделом 14.</w:t>
      </w:r>
    </w:p>
    <w:p>
      <w:pPr>
        <w:spacing w:after="140" w:line="276"/>
      </w:pPr>
      <w:r>
        <w:t xml:space="preserve">6.5. По каждой станции в реквизитах фиксируются заводской номер средства измерения количества электрической энергии, номер записи о типе средства измерения и сведения о поверке. Указанные реквизиты в состав идентификаторов объекта не входят.</w:t>
      </w:r>
    </w:p>
    <w:p>
      <w:pPr>
        <w:pStyle w:val="Heading1"/>
        <w:spacing w:after="160" w:before="300"/>
      </w:pPr>
      <w:r>
        <w:t xml:space="preserve">7. Порядок присвоения и изменения идентификаторов</w:t>
      </w:r>
    </w:p>
    <w:p>
      <w:pPr>
        <w:spacing w:after="140" w:line="276"/>
      </w:pPr>
      <w:r>
        <w:t xml:space="preserve">7.1. Технический ключ присваивается информационной системой в момент создания записи об объекте, изменению не подлежит, в документах организации и при информационном обмене с внешними системами не применяется. Формирование технического ключа из значений идентификаторов внешних систем не допускается.</w:t>
      </w:r>
    </w:p>
    <w:p>
      <w:pPr>
        <w:spacing w:after="140" w:line="276"/>
      </w:pPr>
      <w:r>
        <w:t xml:space="preserve">7.2. Номер площадки присваивается при регистрации решения о проработке земельного участка для размещения объектов зарядной инфраструктуры.</w:t>
      </w:r>
    </w:p>
    <w:p>
      <w:pPr>
        <w:spacing w:after="140" w:line="276"/>
      </w:pPr>
      <w:r>
        <w:t xml:space="preserve">7.3. Номер точки обслуживания присваивается при регистрации точки обслуживания в информационной системе, в том числе до ввода объекта в эксплуатацию. Номер, присвоенный до ввода объекта в эксплуатацию, при вводе не изменяется.</w:t>
      </w:r>
    </w:p>
    <w:p>
      <w:pPr>
        <w:spacing w:after="140" w:line="276"/>
      </w:pPr>
      <w:r>
        <w:t xml:space="preserve">7.4. Корректировка номера объекта работником допускается до наступления замораживающего события при наличии полномочий. Каждая корректировка фиксируется с указанием работника, даты и основания.</w:t>
      </w:r>
    </w:p>
    <w:p>
      <w:pPr>
        <w:spacing w:after="140" w:line="276"/>
      </w:pPr>
      <w:r>
        <w:t xml:space="preserve">7.5. Информационная система обеспечивает программный запрет изменения номера объекта после наступления замораживающего события.</w:t>
      </w:r>
    </w:p>
    <w:p>
      <w:pPr>
        <w:spacing w:after="140" w:line="276"/>
      </w:pPr>
      <w:r>
        <w:t xml:space="preserve">7.6. Замораживающими событиями являются: привязка объекта к договору; принятие станции к бухгалтерскому учёту; регистрация первой зарядной сессии на объекте; передача сведений об объекте во внешнюю систему, зафиксированная в журнале выгрузок. Обмен сведениями между информационными системами организации замораживающим событием не является.</w:t>
      </w:r>
    </w:p>
    <w:p>
      <w:pPr>
        <w:spacing w:after="140" w:line="276"/>
      </w:pPr>
      <w:r>
        <w:t xml:space="preserve">7.7. Инвентарный номер присваивается учётной системой при принятии объекта к бухгалтерскому учёту и передаётся в информационную систему. Принятие объекта к бухгалтерскому учёту оформляется актом о приёме-передаче объекта основных средств. Информационная система инвентарный номер не присваивает и принятое значение не изменяет.</w:t>
      </w:r>
    </w:p>
    <w:p>
      <w:pPr>
        <w:spacing w:after="140" w:line="276"/>
      </w:pPr>
      <w:r>
        <w:t xml:space="preserve">7.8. Информационная система обеспечивает программный контроль уникальности номеров объектов в пределах организации.</w:t>
      </w:r>
    </w:p>
    <w:p>
      <w:pPr>
        <w:pStyle w:val="Heading1"/>
        <w:spacing w:after="160" w:before="300"/>
      </w:pPr>
      <w:r>
        <w:t xml:space="preserve">8. Реестр соответствий идентификаторов внешних систем</w:t>
      </w:r>
    </w:p>
    <w:p>
      <w:pPr>
        <w:spacing w:after="140" w:line="276"/>
      </w:pPr>
      <w:r>
        <w:t xml:space="preserve">8.1. Соответствие объектов организации идентификаторам внешних систем ведётся в реестре соответствий. Запись реестра содержит: технический ключ объекта, уровень объекта, внешнюю систему, роль идентификатора, значение идентификатора, дату начала действия, дату окончания действия, источник сведений, работника либо процесс загрузки, создавший запись.</w:t>
      </w:r>
    </w:p>
    <w:p>
      <w:pPr>
        <w:spacing w:after="140" w:line="276"/>
      </w:pPr>
      <w:r>
        <w:t xml:space="preserve">8.2. Запись реестра создаётся информационной системой при загрузке сведений из внешней системы. Ручное создание записей допускается при наличии полномочий с фиксацией работника и основания.</w:t>
      </w:r>
    </w:p>
    <w:p>
      <w:pPr>
        <w:spacing w:after="140" w:line="276"/>
      </w:pPr>
      <w:r>
        <w:t xml:space="preserve">8.3. Прекратившая действие запись реестра не удаляется, а закрывается датой окончания действия.</w:t>
      </w:r>
    </w:p>
    <w:p>
      <w:pPr>
        <w:spacing w:after="140" w:line="276"/>
      </w:pPr>
      <w:r>
        <w:t xml:space="preserve">8.4. Значение, действующее в отношении одного объекта, не может быть закреплено за другим объектом в тот же период.</w:t>
      </w:r>
    </w:p>
    <w:p>
      <w:pPr>
        <w:spacing w:after="140" w:line="276"/>
      </w:pPr>
      <w:r>
        <w:t xml:space="preserve">8.5. Внесение значений идентификаторов внешних систем в поля идентификаторов объекта, установленных пунктом 6.1, не допускается.</w:t>
      </w:r>
    </w:p>
    <w:p>
      <w:pPr>
        <w:pStyle w:val="Heading1"/>
        <w:spacing w:after="160" w:before="300"/>
      </w:pPr>
      <w:r>
        <w:t xml:space="preserve">9. События жизненного цикла объектов</w:t>
      </w:r>
    </w:p>
    <w:p>
      <w:pPr>
        <w:spacing w:after="140" w:line="276"/>
      </w:pPr>
      <w:r>
        <w:t xml:space="preserve">9.1. Станция находится в одном из состояний: планируется, смонтирована, эксплуатируется, законсервирована, выведена. Перевод станции в состояние эксплуатации допускается при наличии даты ввода в эксплуатацию, перевод в состояние выведена - при наличии даты вывода. Перевод из состояния выведена в иное состояние не допускается.</w:t>
      </w:r>
    </w:p>
    <w:p>
      <w:pPr>
        <w:spacing w:after="140" w:line="276"/>
      </w:pPr>
      <w:r>
        <w:t xml:space="preserve">9.2. Изменение идентификаторов при наступлении событий жизненного цикла устанавливается следующим образом.</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5"/>
      </w:tblGrid>
      <w:tr>
        <w:trPr>
          <w:tblHeader/>
        </w:trPr>
        <w:tc>
          <w:tcPr>
            <w:tcW w:type="dxa" w:w="1814"/>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pPr>
              <w:spacing w:after="0" w:line="250"/>
            </w:pPr>
            <w:r>
              <w:rPr>
                <w:b/>
                <w:bCs/>
                <w:sz w:val="19"/>
                <w:szCs w:val="19"/>
              </w:rPr>
              <w:t xml:space="preserve">Событие</w:t>
            </w:r>
          </w:p>
        </w:tc>
        <w:tc>
          <w:tcPr>
            <w:tcW w:type="dxa" w:w="1814"/>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pPr>
              <w:spacing w:after="0" w:line="250"/>
            </w:pPr>
            <w:r>
              <w:rPr>
                <w:b/>
                <w:bCs/>
                <w:sz w:val="19"/>
                <w:szCs w:val="19"/>
              </w:rPr>
              <w:t xml:space="preserve">Номер площадки</w:t>
            </w:r>
          </w:p>
        </w:tc>
        <w:tc>
          <w:tcPr>
            <w:tcW w:type="dxa" w:w="1814"/>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pPr>
              <w:spacing w:after="0" w:line="250"/>
            </w:pPr>
            <w:r>
              <w:rPr>
                <w:b/>
                <w:bCs/>
                <w:sz w:val="19"/>
                <w:szCs w:val="19"/>
              </w:rPr>
              <w:t xml:space="preserve">Номер точки обслуживания</w:t>
            </w:r>
          </w:p>
        </w:tc>
        <w:tc>
          <w:tcPr>
            <w:tcW w:type="dxa" w:w="1814"/>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pPr>
              <w:spacing w:after="0" w:line="250"/>
            </w:pPr>
            <w:r>
              <w:rPr>
                <w:b/>
                <w:bCs/>
                <w:sz w:val="19"/>
                <w:szCs w:val="19"/>
              </w:rPr>
              <w:t xml:space="preserve">Станция</w:t>
            </w:r>
          </w:p>
        </w:tc>
        <w:tc>
          <w:tcPr>
            <w:tcW w:type="dxa" w:w="1815"/>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pPr>
              <w:spacing w:after="0" w:line="250"/>
            </w:pPr>
            <w:r>
              <w:rPr>
                <w:b/>
                <w:bCs/>
                <w:sz w:val="19"/>
                <w:szCs w:val="19"/>
              </w:rPr>
              <w:t xml:space="preserve">Документы</w:t>
            </w:r>
          </w:p>
        </w:tc>
      </w:tr>
      <w:tr>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Ввод объекта в эксплуатацию</w:t>
            </w:r>
          </w:p>
        </w:tc>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без изменений</w:t>
            </w:r>
          </w:p>
        </w:tc>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без изменений</w:t>
            </w:r>
          </w:p>
        </w:tc>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принимается к бухгалтерскому учёту</w:t>
            </w:r>
          </w:p>
        </w:tc>
        <w:tc>
          <w:tcPr>
            <w:tcW w:type="dxa" w:w="1815"/>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по приложению Б</w:t>
            </w:r>
          </w:p>
        </w:tc>
      </w:tr>
      <w:tr>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Замена станции</w:t>
            </w:r>
          </w:p>
        </w:tc>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без изменений</w:t>
            </w:r>
          </w:p>
        </w:tc>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без изменений</w:t>
            </w:r>
          </w:p>
        </w:tc>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прежняя выбывает, новая принимается к бухгалтерскому учёту</w:t>
            </w:r>
          </w:p>
        </w:tc>
        <w:tc>
          <w:tcPr>
            <w:tcW w:type="dxa" w:w="1815"/>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по приложению Б</w:t>
            </w:r>
          </w:p>
        </w:tc>
      </w:tr>
      <w:tr>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Перемещение станции</w:t>
            </w:r>
          </w:p>
        </w:tc>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привязка станции переносится на принимающую площадку</w:t>
            </w:r>
          </w:p>
        </w:tc>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привязка станции переносится на принимающую точку обслуживания, номера обеих точек сохраняются</w:t>
            </w:r>
          </w:p>
        </w:tc>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инвентарный номер сохраняется</w:t>
            </w:r>
          </w:p>
        </w:tc>
        <w:tc>
          <w:tcPr>
            <w:tcW w:type="dxa" w:w="1815"/>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по приложению Б</w:t>
            </w:r>
          </w:p>
        </w:tc>
      </w:tr>
      <w:tr>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Размещение дополнительной станции</w:t>
            </w:r>
          </w:p>
        </w:tc>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без изменений</w:t>
            </w:r>
          </w:p>
        </w:tc>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без изменений</w:t>
            </w:r>
          </w:p>
        </w:tc>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принимается к бухгалтерскому учёту</w:t>
            </w:r>
          </w:p>
        </w:tc>
        <w:tc>
          <w:tcPr>
            <w:tcW w:type="dxa" w:w="1815"/>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по приложению Б</w:t>
            </w:r>
          </w:p>
        </w:tc>
      </w:tr>
      <w:tr>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Вывод из эксплуатации без выбытия</w:t>
            </w:r>
          </w:p>
        </w:tc>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без изменений</w:t>
            </w:r>
          </w:p>
        </w:tc>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без изменений</w:t>
            </w:r>
          </w:p>
        </w:tc>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инвентарный номер сохраняется</w:t>
            </w:r>
          </w:p>
        </w:tc>
        <w:tc>
          <w:tcPr>
            <w:tcW w:type="dxa" w:w="1815"/>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по приложению Б</w:t>
            </w:r>
          </w:p>
        </w:tc>
      </w:tr>
      <w:tr>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Выбытие объекта</w:t>
            </w:r>
          </w:p>
        </w:tc>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без изменений</w:t>
            </w:r>
          </w:p>
        </w:tc>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закрывается датой вывода</w:t>
            </w:r>
          </w:p>
        </w:tc>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выбывает</w:t>
            </w:r>
          </w:p>
        </w:tc>
        <w:tc>
          <w:tcPr>
            <w:tcW w:type="dxa" w:w="1815"/>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по приложению Б</w:t>
            </w:r>
          </w:p>
        </w:tc>
      </w:tr>
      <w:tr>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Изменение наименования объекта</w:t>
            </w:r>
          </w:p>
        </w:tc>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без изменений</w:t>
            </w:r>
          </w:p>
        </w:tc>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без изменений</w:t>
            </w:r>
          </w:p>
        </w:tc>
        <w:tc>
          <w:tcPr>
            <w:tcW w:type="dxa" w:w="181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без изменений</w:t>
            </w:r>
          </w:p>
        </w:tc>
        <w:tc>
          <w:tcPr>
            <w:tcW w:type="dxa" w:w="1815"/>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не требуются</w:t>
            </w:r>
          </w:p>
        </w:tc>
      </w:tr>
    </w:tbl>
    <w:p>
      <w:pPr>
        <w:spacing w:after="120" w:line="276"/>
      </w:pPr>
      <w:r>
        <w:t xml:space="preserve"/>
      </w:r>
    </w:p>
    <w:p>
      <w:pPr>
        <w:spacing w:after="140" w:line="276"/>
      </w:pPr>
      <w:r>
        <w:t xml:space="preserve">9.3. Датой ввода объекта в эксплуатацию признаётся указанная в акте о приёме-передаче объекта основных средств дата приведения объекта в состояние и местоположение, в которых он пригоден к использованию в запланированных целях. При несовпадении указанной даты с датой составления акта применяется дата приведения объекта в состояние пригодности к использованию. Дата ввода является обязательным реквизитом при переводе объекта в состояние эксплуатации и фиксируется с указанием работника, внёсшего сведения, а при установлении даты информационной системой по завершении маршрута ввода в эксплуатацию - с указанием работника, закрывшего заключительный пункт маршрута.</w:t>
      </w:r>
    </w:p>
    <w:p>
      <w:pPr>
        <w:spacing w:after="140" w:line="276"/>
      </w:pPr>
      <w:r>
        <w:t xml:space="preserve">9.4. Станция, признаваемая сооружением, принимается к бухгалтерскому учёту актом о приёме-передаче здания (сооружения). В остальных случаях применяется акт о приёме-передаче объекта основных средств. Признание станции сооружением устанавливается учётной политикой организации.</w:t>
      </w:r>
    </w:p>
    <w:p>
      <w:pPr>
        <w:spacing w:after="140" w:line="276"/>
      </w:pPr>
      <w:r>
        <w:t xml:space="preserve">9.5. Дата вывода объекта из эксплуатации является обязательным реквизитом при переводе объекта в состояние выведена. Вывод объекта из эксплуатации без выбытия не влечёт закрытия номера точки обслуживания и изменения инвентарного номера станции.</w:t>
      </w:r>
    </w:p>
    <w:p>
      <w:pPr>
        <w:spacing w:after="140" w:line="276"/>
      </w:pPr>
      <w:r>
        <w:t xml:space="preserve">9.6. По объектам, не принимаемым к бухгалтерскому учёту организации, датой ввода в эксплуатацию признаётся дата акта, предусмотренного договором с владельцем объекта.</w:t>
      </w:r>
    </w:p>
    <w:p>
      <w:pPr>
        <w:spacing w:after="140" w:line="276"/>
      </w:pPr>
      <w:r>
        <w:t xml:space="preserve">9.7. Порядок действий при событиях, не предусмотренных пунктом 9.2, в том числе при разукрупнении объекта, смене владельца, оператора или бренда, устанавливается [подразделение] и оформляется дополнением к настоящему стандарту.</w:t>
      </w:r>
    </w:p>
    <w:p>
      <w:pPr>
        <w:pStyle w:val="Heading1"/>
        <w:spacing w:after="160" w:before="300"/>
      </w:pPr>
      <w:r>
        <w:t xml:space="preserve">10. Принадлежность объектов и модели эксплуатации</w:t>
      </w:r>
    </w:p>
    <w:p>
      <w:pPr>
        <w:spacing w:after="140" w:line="276"/>
      </w:pPr>
      <w:r>
        <w:t xml:space="preserve">10.1. Принадлежность объекта описывается тремя независимыми реквизитами: владелец, оператор, бренд. Определение принадлежности по формату номера объекта или иным косвенным признакам не допускается.</w:t>
      </w:r>
    </w:p>
    <w:p>
      <w:pPr>
        <w:spacing w:after="140" w:line="276"/>
      </w:pPr>
      <w:r>
        <w:t xml:space="preserve">10.2. Объект включается в состав основных средств организации при условии, что организация является владельцем объекта. Объекты, полученные организацией во временное владение и пользование или во временное пользование, признаются в порядке, установленном ФСБУ 25/2018, и в состав основных средств организации не включаются. Объекты, не отвечающие условиям настоящего пункта, подлежат регистрации в информационной системе с указанием владельца.</w:t>
      </w:r>
    </w:p>
    <w:p>
      <w:pPr>
        <w:spacing w:after="140" w:line="276"/>
      </w:pPr>
      <w:r>
        <w:t xml:space="preserve">10.3. Для каждого объекта, эксплуатируемого по договору с третьим лицом, реквизитом «модель расчётов» указывается одна из моделей, перечень которых утверждается [подразделение] и ведётся в информационной системе справочником. Объекты с одинаковой моделью расчётов подлежат единому порядку признания выручки.</w:t>
      </w:r>
    </w:p>
    <w:p>
      <w:pPr>
        <w:spacing w:after="140" w:line="276"/>
      </w:pPr>
      <w:r>
        <w:t xml:space="preserve">10.4. По объектам, не принадлежащим организации, ведётся технический учёт в объёме, необходимом для исполнения договора. Учёт наработки, ремонтов и обслуживания по объектам, эксплуатацию которых организация не осуществляет, ведётся только в случаях, прямо предусмотренных договором.</w:t>
      </w:r>
    </w:p>
    <w:p>
      <w:pPr>
        <w:spacing w:after="140" w:line="276"/>
      </w:pPr>
      <w:r>
        <w:t xml:space="preserve">10.5. Внешние идентификаторы объектов, принадлежащих третьим лицам, организацией не присваиваются и не изменяются. Полученные от владельца значения ведутся в реестре соответствий и в состав идентификаторов объекта не включаются.</w:t>
      </w:r>
    </w:p>
    <w:p>
      <w:pPr>
        <w:pStyle w:val="Heading1"/>
        <w:spacing w:after="160" w:before="300"/>
      </w:pPr>
      <w:r>
        <w:t xml:space="preserve">11. Информационный обмен с внешними системами</w:t>
      </w:r>
    </w:p>
    <w:p>
      <w:pPr>
        <w:spacing w:after="140" w:line="276"/>
      </w:pPr>
      <w:r>
        <w:t xml:space="preserve">11.1. Программное обеспечение оборудования объектов зарядной инфраструктуры для быстрой зарядки должно соответствовать характеристикам, установленным приказом, предусмотренным пунктом 3.5. При информационном обмене по прочим объектам применяются протоколы, установленные договором об информационном обмене.</w:t>
      </w:r>
    </w:p>
    <w:p>
      <w:pPr>
        <w:spacing w:after="140" w:line="276"/>
      </w:pPr>
      <w:r>
        <w:t xml:space="preserve">11.2. Организация самостоятельно устанавливает код оператора для информационного обмена. Устанавливаются два кода: для роли оператора зарядной инфраструктуры и для роли поставщика услуги потребителю. Коды утверждаются [решением уполномоченного органа организации] и фиксируются в информационной системе.</w:t>
      </w:r>
    </w:p>
    <w:p>
      <w:pPr>
        <w:spacing w:after="140" w:line="276"/>
      </w:pPr>
      <w:r>
        <w:t xml:space="preserve">11.3. Уникальность кода оператора обеспечивается организацией. При заключении договора об информационном обмене проводится проверка отсутствия совпадения кодов сторон. Результат проверки фиксируется в договоре или приложении к нему.</w:t>
      </w:r>
    </w:p>
    <w:p>
      <w:pPr>
        <w:spacing w:after="140" w:line="276"/>
      </w:pPr>
      <w:r>
        <w:t xml:space="preserve">11.4. Внешний идентификатор присваивается точке отпуска, объектом учёта не является, на инвентарный номер и иные учётные реквизиты не влияет.</w:t>
      </w:r>
    </w:p>
    <w:p>
      <w:pPr>
        <w:spacing w:after="140" w:line="276"/>
      </w:pPr>
      <w:r>
        <w:t xml:space="preserve">11.5. При выбытии объекта внешний идентификатор прекращает действие и закрывается датой окончания действия в порядке, установленном пунктом 8.3. Прекращение действия внешнего идентификатора при расторжении договора об информационном обмене производится в том же порядке.</w:t>
      </w:r>
    </w:p>
    <w:p>
      <w:pPr>
        <w:spacing w:after="140" w:line="276"/>
      </w:pPr>
      <w:r>
        <w:t xml:space="preserve">11.6. Условия информационного обмена, включая принадлежность внешних идентификаторов, порядок использования внешних идентификаторов при расторжении договора, состав публикуемых сведений и принадлежность сведений о зарядных сессиях, устанавливаются договором об информационном обмене.</w:t>
      </w:r>
    </w:p>
    <w:p>
      <w:pPr>
        <w:spacing w:after="140" w:line="276"/>
      </w:pPr>
      <w:r>
        <w:t xml:space="preserve">11.7. Передача сведений об объектах во внешние системы осуществляется в составе, определённом в порядке, установленном разделом 12.</w:t>
      </w:r>
    </w:p>
    <w:p>
      <w:pPr>
        <w:pStyle w:val="Heading1"/>
        <w:spacing w:after="160" w:before="300"/>
      </w:pPr>
      <w:r>
        <w:t xml:space="preserve">12. Состав передаваемых сведений и защита сведений об объектах</w:t>
      </w:r>
    </w:p>
    <w:p>
      <w:pPr>
        <w:spacing w:after="140" w:line="276"/>
      </w:pPr>
      <w:r>
        <w:t xml:space="preserve">12.1. При информационном обмене с внешними системами и в выгрузках, передаваемых третьим лицам, не передаются: технический ключ объекта, инвентарный номер, сведения о стоимости объекта, адреса и параметры подключения оборудования к системам управления, пароли и ключи доступа.</w:t>
      </w:r>
    </w:p>
    <w:p>
      <w:pPr>
        <w:spacing w:after="140" w:line="276"/>
      </w:pPr>
      <w:r>
        <w:t xml:space="preserve">12.2. Состав сведений, передаваемых во внешние системы, утверждается [подразделением] и реализуется в информационной системе перечнем разрешённых реквизитов.</w:t>
      </w:r>
    </w:p>
    <w:p>
      <w:pPr>
        <w:spacing w:after="140" w:line="276"/>
      </w:pPr>
      <w:r>
        <w:t xml:space="preserve">12.3. Выгрузка сведений об объектах производится при наличии полномочий у работника, а при обмене между информационными системами - у учётной записи интеграции. Каждая выгрузка фиксируется в журнале с указанием работника либо учётной записи интеграции, даты, состава и объёма переданных сведений.</w:t>
      </w:r>
    </w:p>
    <w:p>
      <w:pPr>
        <w:spacing w:after="140" w:line="276"/>
      </w:pPr>
      <w:r>
        <w:t xml:space="preserve">12.4. Публикация сведений об объекте во внешних системах осуществляется при наличии признака разрешения публикации. Признак устанавливается на уровне точки обслуживания [подразделением] и ведётся в информационной системе. Публикация сведений об объекте, для которого признак не установлен, не допускается.</w:t>
      </w:r>
    </w:p>
    <w:p>
      <w:pPr>
        <w:pStyle w:val="Heading1"/>
        <w:spacing w:after="160" w:before="300"/>
      </w:pPr>
      <w:r>
        <w:t xml:space="preserve">13. Распределение ответственности</w:t>
      </w:r>
    </w:p>
    <w:p>
      <w:pPr>
        <w:spacing w:after="140" w:line="276"/>
      </w:pPr>
      <w:r>
        <w:t xml:space="preserve">13.1. Ответственность подразделений устанавливается следующим образом.</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5"/>
      </w:tblGrid>
      <w:tr>
        <w:trPr>
          <w:tblHeader/>
        </w:trPr>
        <w:tc>
          <w:tcPr>
            <w:tcW w:type="dxa" w:w="3023"/>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pPr>
              <w:spacing w:after="0" w:line="250"/>
            </w:pPr>
            <w:r>
              <w:rPr>
                <w:b/>
                <w:bCs/>
                <w:sz w:val="19"/>
                <w:szCs w:val="19"/>
              </w:rPr>
              <w:t xml:space="preserve">Действие</w:t>
            </w:r>
          </w:p>
        </w:tc>
        <w:tc>
          <w:tcPr>
            <w:tcW w:type="dxa" w:w="3023"/>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pPr>
              <w:spacing w:after="0" w:line="250"/>
            </w:pPr>
            <w:r>
              <w:rPr>
                <w:b/>
                <w:bCs/>
                <w:sz w:val="19"/>
                <w:szCs w:val="19"/>
              </w:rPr>
              <w:t xml:space="preserve">Подразделение</w:t>
            </w:r>
          </w:p>
        </w:tc>
        <w:tc>
          <w:tcPr>
            <w:tcW w:type="dxa" w:w="3025"/>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pPr>
              <w:spacing w:after="0" w:line="250"/>
            </w:pPr>
            <w:r>
              <w:rPr>
                <w:b/>
                <w:bCs/>
                <w:sz w:val="19"/>
                <w:szCs w:val="19"/>
              </w:rPr>
              <w:t xml:space="preserve">Срок</w:t>
            </w:r>
          </w:p>
        </w:tc>
      </w:tr>
      <w:tr>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Регистрация площадки</w:t>
            </w:r>
          </w:p>
        </w:tc>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[подразделение развития]</w:t>
            </w:r>
          </w:p>
        </w:tc>
        <w:tc>
          <w:tcPr>
            <w:tcW w:type="dxa" w:w="3025"/>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в день принятия решения о проработке</w:t>
            </w:r>
          </w:p>
        </w:tc>
      </w:tr>
      <w:tr>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Регистрация точки обслуживания</w:t>
            </w:r>
          </w:p>
        </w:tc>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[подразделение развития]</w:t>
            </w:r>
          </w:p>
        </w:tc>
        <w:tc>
          <w:tcPr>
            <w:tcW w:type="dxa" w:w="3025"/>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в день принятия решения о создании точки обслуживания</w:t>
            </w:r>
          </w:p>
        </w:tc>
      </w:tr>
      <w:tr>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Внесение сведений о вводе объекта в эксплуатацию и передача документов для принятия станции к бухгалтерскому учёту</w:t>
            </w:r>
          </w:p>
        </w:tc>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[подразделение эксплуатации]</w:t>
            </w:r>
          </w:p>
        </w:tc>
        <w:tc>
          <w:tcPr>
            <w:tcW w:type="dxa" w:w="3025"/>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[N] рабочих дней с даты акта о приёме-передаче объекта основных средств</w:t>
            </w:r>
          </w:p>
        </w:tc>
      </w:tr>
      <w:tr>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Присвоение инвентарного номера</w:t>
            </w:r>
          </w:p>
        </w:tc>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[учётное подразделение]</w:t>
            </w:r>
          </w:p>
        </w:tc>
        <w:tc>
          <w:tcPr>
            <w:tcW w:type="dxa" w:w="3025"/>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[N] рабочих дней с даты получения документов</w:t>
            </w:r>
          </w:p>
        </w:tc>
      </w:tr>
      <w:tr>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Внесение сведений о перемещении и выводе объекта</w:t>
            </w:r>
          </w:p>
        </w:tc>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[подразделение эксплуатации]</w:t>
            </w:r>
          </w:p>
        </w:tc>
        <w:tc>
          <w:tcPr>
            <w:tcW w:type="dxa" w:w="3025"/>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[N] рабочих дней с даты накладной на внутреннее перемещение либо акта о списании</w:t>
            </w:r>
          </w:p>
        </w:tc>
      </w:tr>
      <w:tr>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Установление модели расчётов по объекту</w:t>
            </w:r>
          </w:p>
        </w:tc>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[подразделение развития]</w:t>
            </w:r>
          </w:p>
        </w:tc>
        <w:tc>
          <w:tcPr>
            <w:tcW w:type="dxa" w:w="3025"/>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до начала эксплуатации объекта</w:t>
            </w:r>
          </w:p>
        </w:tc>
      </w:tr>
      <w:tr>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Ведение реестра соответствий</w:t>
            </w:r>
          </w:p>
        </w:tc>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[подразделение информационных технологий]</w:t>
            </w:r>
          </w:p>
        </w:tc>
        <w:tc>
          <w:tcPr>
            <w:tcW w:type="dxa" w:w="3025"/>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постоянно</w:t>
            </w:r>
          </w:p>
        </w:tc>
      </w:tr>
      <w:tr>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Подготовка и проверка кода оператора, представление на утверждение</w:t>
            </w:r>
          </w:p>
        </w:tc>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[подразделение информационных технологий]</w:t>
            </w:r>
          </w:p>
        </w:tc>
        <w:tc>
          <w:tcPr>
            <w:tcW w:type="dxa" w:w="3025"/>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до начала информационного обмена</w:t>
            </w:r>
          </w:p>
        </w:tc>
      </w:tr>
      <w:tr>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Утверждение состава передаваемых сведений</w:t>
            </w:r>
          </w:p>
        </w:tc>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[подразделение информационной безопасности]</w:t>
            </w:r>
          </w:p>
        </w:tc>
        <w:tc>
          <w:tcPr>
            <w:tcW w:type="dxa" w:w="3025"/>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до начала информационного обмена</w:t>
            </w:r>
          </w:p>
        </w:tc>
      </w:tr>
      <w:tr>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Установление признака разрешения публикации</w:t>
            </w:r>
          </w:p>
        </w:tc>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[подразделение]</w:t>
            </w:r>
          </w:p>
        </w:tc>
        <w:tc>
          <w:tcPr>
            <w:tcW w:type="dxa" w:w="3025"/>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до начала информационного обмена по объекту</w:t>
            </w:r>
          </w:p>
        </w:tc>
      </w:tr>
    </w:tbl>
    <w:p>
      <w:pPr>
        <w:spacing w:after="120" w:line="276"/>
      </w:pPr>
      <w:r>
        <w:t xml:space="preserve"/>
      </w:r>
    </w:p>
    <w:p>
      <w:pPr>
        <w:spacing w:after="140" w:line="276"/>
      </w:pPr>
      <w:r>
        <w:t xml:space="preserve">13.2. Работник, внёсший сведения, отвечает за их достоверность в порядке, установленном трудовым законодательством Российской Федерации и локальными нормативными актами организации. Информационная система фиксирует работника и дату каждого изменения идентификаторов и дат жизненного цикла.</w:t>
      </w:r>
    </w:p>
    <w:p>
      <w:pPr>
        <w:pStyle w:val="Heading1"/>
        <w:spacing w:after="160" w:before="300"/>
      </w:pPr>
      <w:r>
        <w:t xml:space="preserve">14. Контроль и сверка</w:t>
      </w:r>
    </w:p>
    <w:p>
      <w:pPr>
        <w:spacing w:after="140" w:line="276"/>
      </w:pPr>
      <w:r>
        <w:t xml:space="preserve">14.1. Сверка сведений об объектах между информационной системой и учётной системой проводится [периодичность сверки]. Сверка проводится в дополнение к инвентаризации и её не заменяет. Инвентаризация проводится в порядке, установленном ФСБУ 28/2023.</w:t>
      </w:r>
    </w:p>
    <w:p>
      <w:pPr>
        <w:spacing w:after="140" w:line="276"/>
      </w:pPr>
      <w:r>
        <w:t xml:space="preserve">14.2. Обязательному контролю подлежат: объекты, принадлежащие организации и эксплуатируемые без инвентарного номера; объекты, не имеющие даты ввода при состоянии эксплуатации; объекты, не имеющие даты вывода при состоянии выведена; объекты с совпадающими номерами; объекты информационной системы, не сопоставленные с объектами внешних систем.</w:t>
      </w:r>
    </w:p>
    <w:p>
      <w:pPr>
        <w:spacing w:after="140" w:line="276"/>
      </w:pPr>
      <w:r>
        <w:t xml:space="preserve">14.3. Результаты контроля оформляются [наименованием документа] и передаются [подразделению] для устранения расхождений в срок [N] рабочих дней.</w:t>
      </w:r>
    </w:p>
    <w:p>
      <w:pPr>
        <w:spacing w:after="140" w:line="276"/>
      </w:pPr>
      <w:r>
        <w:t xml:space="preserve">14.4. Расхождения, не устранённые в установленный срок, выносятся на рассмотрение [уполномоченного органа организации].</w:t>
      </w:r>
    </w:p>
    <w:p>
      <w:pPr>
        <w:pStyle w:val="Heading1"/>
        <w:spacing w:after="160" w:before="300"/>
      </w:pPr>
      <w:r>
        <w:t xml:space="preserve">15. Переходные положения</w:t>
      </w:r>
    </w:p>
    <w:p>
      <w:pPr>
        <w:spacing w:after="140" w:line="276"/>
      </w:pPr>
      <w:r>
        <w:t xml:space="preserve">15.1. Идентификаторы объектов, присвоенные до введения настоящего стандарта в действие, сохраняются и переприсвоению не подлежат. Приведение форматов ранее присвоенных идентификаторов к приложению А не производится. Отсутствующие идентификаторы и реквизиты присваиваются и заполняются в порядке пунктов 15.3 - 15.5.</w:t>
      </w:r>
    </w:p>
    <w:p>
      <w:pPr>
        <w:spacing w:after="140" w:line="276"/>
      </w:pPr>
      <w:r>
        <w:t xml:space="preserve">15.2. Требования разделов 6 и 7 применяются к объектам, регистрируемым после введения настоящего стандарта в действие, за исключением пункта 7.8 и случаев, предусмотренных пунктами 15.3 - 15.5, которые применяются ко всем объектам.</w:t>
      </w:r>
    </w:p>
    <w:p>
      <w:pPr>
        <w:spacing w:after="140" w:line="276"/>
      </w:pPr>
      <w:r>
        <w:t xml:space="preserve">15.3. Номера площадок присваиваются ранее зарегистрированным объектам в срок до [дата]. Группировка объектов по площадкам утверждается [подразделением эксплуатации].</w:t>
      </w:r>
    </w:p>
    <w:p>
      <w:pPr>
        <w:spacing w:after="140" w:line="276"/>
      </w:pPr>
      <w:r>
        <w:t xml:space="preserve">15.4. Реестр соответствий вводится в эксплуатацию, значения идентификаторов внешних систем переносятся в него из реквизитов объектов в срок до [дата]. До завершения переноса допускается хранение таких значений в служебных реквизитах объекта, не входящих в состав идентификаторов, установленных пунктом 6.1.</w:t>
      </w:r>
    </w:p>
    <w:p>
      <w:pPr>
        <w:spacing w:after="140" w:line="276"/>
      </w:pPr>
      <w:r>
        <w:t xml:space="preserve">15.5. Реквизиты владельца, оператора и бренда заполняются по ранее зарегистрированным объектам в срок до [дата].</w:t>
      </w:r>
    </w:p>
    <w:p>
      <w:pPr>
        <w:spacing w:after="140" w:line="276"/>
      </w:pPr>
      <w:r>
        <w:t xml:space="preserve">15.6. До установления кодов оператора в порядке, установленном пунктом 11.2, передача сведений об объектах во внешние системы не осуществляется.</w:t>
      </w:r>
    </w:p>
    <w:p>
      <w:pPr>
        <w:spacing w:after="140" w:line="276"/>
      </w:pPr>
      <w:r>
        <w:t xml:space="preserve">15.7. Информационная система приводится в соответствие с требованиями настоящего стандарта в срок до [дата] в части: присвоения технического ключа информационной системой; программного запрета изменения номера объекта после замораживающего события; программного контроля уникальности номеров объектов; перечня разрешённых к передаче реквизитов и журнала выгрузок; обязательности дат ввода и вывода при изменении состояния объекта; ведения уровня точки отпуска.</w:t>
      </w:r>
    </w:p>
    <w:p>
      <w:pPr>
        <w:spacing w:after="140" w:line="276"/>
      </w:pPr>
      <w:r>
        <w:t xml:space="preserve">15.8. До введения в информационной системе уровня точки отпуска внешний идентификатор ведётся на уровне станции, при этом порядковая часть идентификатора формируется в пределах станции.</w:t>
      </w:r>
    </w:p>
    <w:p>
      <w:pPr>
        <w:pStyle w:val="Heading1"/>
        <w:spacing w:after="160" w:before="300"/>
      </w:pPr>
      <w:r>
        <w:t xml:space="preserve">Приложение А. Форматы идентификаторов</w:t>
      </w:r>
    </w:p>
    <w:p>
      <w:pPr>
        <w:spacing w:after="140" w:line="276"/>
      </w:pPr>
      <w:r>
        <w:t xml:space="preserve">А.1. Форматы идентификаторов устанавливаются следующим образом.</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5"/>
      </w:tblGrid>
      <w:tr>
        <w:trPr>
          <w:tblHeader/>
        </w:trPr>
        <w:tc>
          <w:tcPr>
            <w:tcW w:type="dxa" w:w="3023"/>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pPr>
              <w:spacing w:after="0" w:line="250"/>
            </w:pPr>
            <w:r>
              <w:rPr>
                <w:b/>
                <w:bCs/>
                <w:sz w:val="19"/>
                <w:szCs w:val="19"/>
              </w:rPr>
              <w:t xml:space="preserve">Идентификатор</w:t>
            </w:r>
          </w:p>
        </w:tc>
        <w:tc>
          <w:tcPr>
            <w:tcW w:type="dxa" w:w="3023"/>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pPr>
              <w:spacing w:after="0" w:line="250"/>
            </w:pPr>
            <w:r>
              <w:rPr>
                <w:b/>
                <w:bCs/>
                <w:sz w:val="19"/>
                <w:szCs w:val="19"/>
              </w:rPr>
              <w:t xml:space="preserve">Формат</w:t>
            </w:r>
          </w:p>
        </w:tc>
        <w:tc>
          <w:tcPr>
            <w:tcW w:type="dxa" w:w="3025"/>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pPr>
              <w:spacing w:after="0" w:line="250"/>
            </w:pPr>
            <w:r>
              <w:rPr>
                <w:b/>
                <w:bCs/>
                <w:sz w:val="19"/>
                <w:szCs w:val="19"/>
              </w:rPr>
              <w:t xml:space="preserve">Пример</w:t>
            </w:r>
          </w:p>
        </w:tc>
      </w:tr>
      <w:tr>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Номер площадки</w:t>
            </w:r>
          </w:p>
        </w:tc>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PL-RR-NNNN, где RR - код региона, NNNN - порядковый номер площадки в пределах региона</w:t>
            </w:r>
          </w:p>
        </w:tc>
        <w:tc>
          <w:tcPr>
            <w:tcW w:type="dxa" w:w="3025"/>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PL-77-0031</w:t>
            </w:r>
          </w:p>
        </w:tc>
      </w:tr>
      <w:tr>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Номер точки обслуживания</w:t>
            </w:r>
          </w:p>
        </w:tc>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NNN, сквозная нумерация в пределах организации</w:t>
            </w:r>
          </w:p>
        </w:tc>
        <w:tc>
          <w:tcPr>
            <w:tcW w:type="dxa" w:w="3025"/>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612</w:t>
            </w:r>
          </w:p>
        </w:tc>
      </w:tr>
      <w:tr>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Номер проекта</w:t>
            </w:r>
          </w:p>
        </w:tc>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YY-RR-NNNN, где YY - год, RR - код региона, NNNN - порядковый номер в пределах года</w:t>
            </w:r>
          </w:p>
        </w:tc>
        <w:tc>
          <w:tcPr>
            <w:tcW w:type="dxa" w:w="3025"/>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26-24-0348</w:t>
            </w:r>
          </w:p>
        </w:tc>
      </w:tr>
      <w:tr>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Номер точки отпуска</w:t>
            </w:r>
          </w:p>
        </w:tc>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N, порядковый номер в пределах станции начиная с единицы</w:t>
            </w:r>
          </w:p>
        </w:tc>
        <w:tc>
          <w:tcPr>
            <w:tcW w:type="dxa" w:w="3025"/>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1</w:t>
            </w:r>
          </w:p>
        </w:tc>
      </w:tr>
      <w:tr>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Номер коннектора</w:t>
            </w:r>
          </w:p>
        </w:tc>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N, порядковый номер в пределах точки отпуска начиная с единицы</w:t>
            </w:r>
          </w:p>
        </w:tc>
        <w:tc>
          <w:tcPr>
            <w:tcW w:type="dxa" w:w="3025"/>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1</w:t>
            </w:r>
          </w:p>
        </w:tc>
      </w:tr>
      <w:tr>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Внешний идентификатор</w:t>
            </w:r>
          </w:p>
        </w:tc>
        <w:tc>
          <w:tcPr>
            <w:tcW w:type="dxa" w:w="302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RU*OOO*TNNNNN*C, где OOO - код оператора, T - признак типа объекта, NNNNN - номер точки обслуживания, C - номер точки отпуска</w:t>
            </w:r>
          </w:p>
        </w:tc>
        <w:tc>
          <w:tcPr>
            <w:tcW w:type="dxa" w:w="3025"/>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RU*XXX*E00612*1</w:t>
            </w:r>
          </w:p>
        </w:tc>
      </w:tr>
    </w:tbl>
    <w:p>
      <w:pPr>
        <w:spacing w:after="120" w:line="276"/>
      </w:pPr>
      <w:r>
        <w:t xml:space="preserve"/>
      </w:r>
    </w:p>
    <w:p>
      <w:pPr>
        <w:spacing w:after="140" w:line="276"/>
      </w:pPr>
      <w:r>
        <w:t xml:space="preserve">А.2. Код оператора в примере обозначен как XXX и подлежит замене на значение, установленное в порядке, предусмотренном пунктом 11.2. Значения признака типа объекта устанавливаются в соответствии с протоколом информационного обмена.</w:t>
      </w:r>
    </w:p>
    <w:p>
      <w:pPr>
        <w:spacing w:after="140" w:line="276"/>
      </w:pPr>
      <w:r>
        <w:t xml:space="preserve">А.3. Технический ключ формируется информационной системой. Формат технического ключа к прочтению работниками не предназначен и настоящим стандартом не устанавливается.</w:t>
      </w:r>
    </w:p>
    <w:p>
      <w:pPr>
        <w:pStyle w:val="Heading1"/>
        <w:spacing w:after="160" w:before="300"/>
      </w:pPr>
      <w:r>
        <w:t xml:space="preserve">Приложение Б. Соответствие операций и документов</w:t>
      </w:r>
    </w:p>
    <w:p>
      <w:pPr>
        <w:spacing w:after="140" w:line="276"/>
      </w:pPr>
      <w:r>
        <w:t xml:space="preserve">Б.1. Наименования документов приведены по унифицированным формам первичной учётной документации, утверждённым постановлениями, предусмотренными пунктами 3.9 и 3.10 настоящего стандарта. Организация применяет формы первичных учётных документов, утверждённые учётной политикой организации. Указание в настоящем стандарте наименования документа означает документ соответствующего назначения по форме, утверждённой учётной политикой организации.</w:t>
      </w:r>
    </w:p>
    <w:p>
      <w:pPr>
        <w:spacing w:after="140" w:line="276"/>
      </w:pPr>
      <w:r>
        <w:t xml:space="preserve">Б.2. Состав документов по операциям с объектами зарядной инфраструктуры устанавливается следующим образом.</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84"/>
        <w:gridCol w:w="5987"/>
      </w:tblGrid>
      <w:tr>
        <w:trPr>
          <w:tblHeader/>
        </w:trPr>
        <w:tc>
          <w:tcPr>
            <w:tcW w:type="dxa" w:w="3084"/>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pPr>
              <w:spacing w:after="0" w:line="250"/>
            </w:pPr>
            <w:r>
              <w:rPr>
                <w:b/>
                <w:bCs/>
                <w:sz w:val="19"/>
                <w:szCs w:val="19"/>
              </w:rPr>
              <w:t xml:space="preserve">Операция</w:t>
            </w:r>
          </w:p>
        </w:tc>
        <w:tc>
          <w:tcPr>
            <w:tcW w:type="dxa" w:w="5987"/>
            <w:tcBorders>
              <w:top w:val="single" w:color="AAAAAA" w:sz="1"/>
              <w:left w:val="single" w:color="AAAAAA" w:sz="1"/>
              <w:bottom w:val="single" w:color="AAAAAA" w:sz="1"/>
              <w:right w:val="single" w:color="AAAAAA" w:sz="1"/>
            </w:tcBorders>
            <w:shd w:fill="E8EEF4" w:val="clear"/>
            <w:tcMar>
              <w:top w:type="dxa" w:w="80"/>
              <w:left w:type="dxa" w:w="120"/>
              <w:bottom w:type="dxa" w:w="80"/>
              <w:right w:type="dxa" w:w="120"/>
            </w:tcMar>
          </w:tcPr>
          <w:p>
            <w:pPr>
              <w:spacing w:after="0" w:line="250"/>
            </w:pPr>
            <w:r>
              <w:rPr>
                <w:b/>
                <w:bCs/>
                <w:sz w:val="19"/>
                <w:szCs w:val="19"/>
              </w:rPr>
              <w:t xml:space="preserve">Документы</w:t>
            </w:r>
          </w:p>
        </w:tc>
      </w:tr>
      <w:tr>
        <w:tc>
          <w:tcPr>
            <w:tcW w:type="dxa" w:w="308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Поступление оборудования</w:t>
            </w:r>
          </w:p>
        </w:tc>
        <w:tc>
          <w:tcPr>
            <w:tcW w:type="dxa" w:w="5987"/>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договор, товарная накладная и счёт-фактура либо универсальный передаточный документ, акт о приёме (поступлении) оборудования</w:t>
            </w:r>
          </w:p>
        </w:tc>
      </w:tr>
      <w:tr>
        <w:tc>
          <w:tcPr>
            <w:tcW w:type="dxa" w:w="308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Передача оборудования в монтаж</w:t>
            </w:r>
          </w:p>
        </w:tc>
        <w:tc>
          <w:tcPr>
            <w:tcW w:type="dxa" w:w="5987"/>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заявка на передачу, акт о приёме-передаче оборудования в монтаж, при подрядном способе также письмо контрагента и доверенность</w:t>
            </w:r>
          </w:p>
        </w:tc>
      </w:tr>
      <w:tr>
        <w:tc>
          <w:tcPr>
            <w:tcW w:type="dxa" w:w="308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Выполнение работ на объекте</w:t>
            </w:r>
          </w:p>
        </w:tc>
        <w:tc>
          <w:tcPr>
            <w:tcW w:type="dxa" w:w="5987"/>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договор, акт о приёмке выполненных работ, справка о стоимости выполненных работ и затрат, счёт-фактура либо универсальный передаточный документ</w:t>
            </w:r>
          </w:p>
        </w:tc>
      </w:tr>
      <w:tr>
        <w:tc>
          <w:tcPr>
            <w:tcW w:type="dxa" w:w="308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Ввод объекта в эксплуатацию</w:t>
            </w:r>
          </w:p>
        </w:tc>
        <w:tc>
          <w:tcPr>
            <w:tcW w:type="dxa" w:w="5987"/>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приказ, протокол со сроком полезного использования, акт приёмки законченного строительством объекта, акт о приёме-передаче объекта основных средств либо акт о приёме-передаче здания (сооружения)</w:t>
            </w:r>
          </w:p>
        </w:tc>
      </w:tr>
      <w:tr>
        <w:tc>
          <w:tcPr>
            <w:tcW w:type="dxa" w:w="308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Замена станции</w:t>
            </w:r>
          </w:p>
        </w:tc>
        <w:tc>
          <w:tcPr>
            <w:tcW w:type="dxa" w:w="5987"/>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акт о списании объекта основных средств (кроме автотранспортных средств) по выбывающей станции, акт о приёме-передаче объекта основных средств по принимаемой станции</w:t>
            </w:r>
          </w:p>
        </w:tc>
      </w:tr>
      <w:tr>
        <w:tc>
          <w:tcPr>
            <w:tcW w:type="dxa" w:w="308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Размещение дополнительной станции</w:t>
            </w:r>
          </w:p>
        </w:tc>
        <w:tc>
          <w:tcPr>
            <w:tcW w:type="dxa" w:w="5987"/>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акт о приёме-передаче объекта основных средств</w:t>
            </w:r>
          </w:p>
        </w:tc>
      </w:tr>
      <w:tr>
        <w:tc>
          <w:tcPr>
            <w:tcW w:type="dxa" w:w="308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Перемещение станции</w:t>
            </w:r>
          </w:p>
        </w:tc>
        <w:tc>
          <w:tcPr>
            <w:tcW w:type="dxa" w:w="5987"/>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приказ при межфилиальном перемещении, служебная записка при внутрифилиальном перемещении, накладная на внутреннее перемещение объектов основных средств</w:t>
            </w:r>
          </w:p>
        </w:tc>
      </w:tr>
      <w:tr>
        <w:tc>
          <w:tcPr>
            <w:tcW w:type="dxa" w:w="308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Разукрупнение объекта</w:t>
            </w:r>
          </w:p>
        </w:tc>
        <w:tc>
          <w:tcPr>
            <w:tcW w:type="dxa" w:w="5987"/>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приказ, протокол, акт технического осмотра, расчёт стоимости узлов, акт о приёме-передаче объекта основных средств</w:t>
            </w:r>
          </w:p>
        </w:tc>
      </w:tr>
      <w:tr>
        <w:tc>
          <w:tcPr>
            <w:tcW w:type="dxa" w:w="308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Вывод из эксплуатации без выбытия</w:t>
            </w:r>
          </w:p>
        </w:tc>
        <w:tc>
          <w:tcPr>
            <w:tcW w:type="dxa" w:w="5987"/>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приказ о выводе из эксплуатации, акт технического осмотра</w:t>
            </w:r>
          </w:p>
        </w:tc>
      </w:tr>
      <w:tr>
        <w:tc>
          <w:tcPr>
            <w:tcW w:type="dxa" w:w="308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Выбытие объекта</w:t>
            </w:r>
          </w:p>
        </w:tc>
        <w:tc>
          <w:tcPr>
            <w:tcW w:type="dxa" w:w="5987"/>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приказ о списании, акт технического осмотра, акт о списании объекта основных средств (кроме автотранспортных средств)</w:t>
            </w:r>
          </w:p>
        </w:tc>
      </w:tr>
      <w:tr>
        <w:tc>
          <w:tcPr>
            <w:tcW w:type="dxa" w:w="3084"/>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Оформление аренды земельного участка</w:t>
            </w:r>
          </w:p>
        </w:tc>
        <w:tc>
          <w:tcPr>
            <w:tcW w:type="dxa" w:w="5987"/>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50"/>
            </w:pPr>
            <w:r>
              <w:rPr>
                <w:b w:val="false"/>
                <w:bCs w:val="false"/>
                <w:sz w:val="19"/>
                <w:szCs w:val="19"/>
              </w:rPr>
              <w:t xml:space="preserve">договор, акт приёма-передачи, реестр к договору со сроками аренды с учётом пролонгации, справка-расчёт к договору</w:t>
            </w:r>
          </w:p>
        </w:tc>
      </w:tr>
    </w:tbl>
    <w:p>
      <w:pPr>
        <w:spacing w:after="120" w:line="276"/>
      </w:pPr>
      <w:r>
        <w:t xml:space="preserve"/>
      </w:r>
    </w:p>
    <w:p>
      <w:pPr>
        <w:spacing w:after="140" w:line="276"/>
      </w:pPr>
      <w:r>
        <w:t xml:space="preserve">Б.3. Документы по объекту хранятся в информационной системе в исходном виде, включая файлы электронной подписи.</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sz w:val="26"/>
      <w:szCs w:val="26"/>
    </w:rPr>
  </w:style>
  <w:style w:type="paragraph" w:styleId="Heading2">
    <w:name w:val="Heading 2"/>
    <w:basedOn w:val="Normal"/>
    <w:next w:val="Normal"/>
    <w:qFormat/>
    <w:pPr>
      <w:spacing w:after="140" w:before="24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СТАНДАРТ ОРГАНИЗАЦИИ</dc:title>
  <dc:creator>ЭлсиПлюс</dc:creator>
  <cp:lastModifiedBy>Un-named</cp:lastModifiedBy>
  <cp:revision>1</cp:revision>
  <dcterms:created xsi:type="dcterms:W3CDTF">2026-08-13T21:19:29.121Z</dcterms:created>
  <dcterms:modified xsi:type="dcterms:W3CDTF">2026-08-13T21:19:29.122Z</dcterms:modified>
</cp:coreProperties>
</file>

<file path=docProps/custom.xml><?xml version="1.0" encoding="utf-8"?>
<Properties xmlns="http://schemas.openxmlformats.org/officeDocument/2006/custom-properties" xmlns:vt="http://schemas.openxmlformats.org/officeDocument/2006/docPropsVTypes"/>
</file>