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  <w:jc w:val="right"/>
      </w:pPr>
      <w:r>
        <w:rPr>
          <w:i/>
          <w:iCs/>
          <w:sz w:val="20"/>
          <w:szCs w:val="20"/>
        </w:rPr>
        <w:t xml:space="preserve">Проект, редакция 2</w:t>
      </w:r>
    </w:p>
    <w:p>
      <w:pPr>
        <w:spacing w:after="400" w:line="276"/>
        <w:jc w:val="right"/>
      </w:pPr>
      <w:r>
        <w:rPr>
          <w:sz w:val="20"/>
          <w:szCs w:val="20"/>
        </w:rPr>
        <w:t xml:space="preserve">к учётной политике [наименование организации]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ИДЕНТИФИКАЦИЯ И УЧЁТ ОБЪЕКТОВ ЗАРЯДНОЙ ИНФРАСТРУКТУРЫ</w:t>
      </w:r>
    </w:p>
    <w:p>
      <w:pPr>
        <w:spacing w:after="320" w:line="276"/>
      </w:pPr>
      <w:r>
        <w:rPr>
          <w:i/>
          <w:iCs/>
          <w:sz w:val="20"/>
          <w:szCs w:val="20"/>
        </w:rPr>
        <w:t xml:space="preserve">Раздел устанавливает единицы бухгалтерского учёта объектов зарядной инфраструктуры и правила их идентификации. Места, требующие решения организации, помечены квадратными скобками.</w:t>
      </w:r>
    </w:p>
    <w:p>
      <w:pPr>
        <w:pStyle w:val="Heading1"/>
        <w:spacing w:after="160" w:before="300"/>
      </w:pPr>
      <w:r>
        <w:t xml:space="preserve">1. Общие положения</w:t>
      </w:r>
    </w:p>
    <w:p>
      <w:pPr>
        <w:spacing w:after="140" w:line="276"/>
      </w:pPr>
      <w:r>
        <w:t xml:space="preserve">1.1. Настоящий раздел устанавливает единицы бухгалтерского учёта объектов зарядной инфраструктуры, правила их идентификации, порядок присвоения и изменения идентификаторов, а также порядок ведения соответствия внутренних идентификаторов кодам внешних информационных систем.</w:t>
      </w:r>
    </w:p>
    <w:p>
      <w:pPr>
        <w:spacing w:after="140" w:line="276"/>
      </w:pPr>
      <w:r>
        <w:t xml:space="preserve">1.2. Для целей настоящего раздела применяются следующие термины: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Площадка - земельный участок (его часть) с точкой присоединения к электрическим сетям, рассматриваемый для размещения объектов зарядной инфраструктуры либо используемый для их размещения. Права на площадку оформляются самостоятельным договором (аренда, субаренда, сервитут, право собственности).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Точка обслуживания - коммерческая единица сети: совокупность объектов на площадке, работающих под единой вывеской и единым тарифом, по которой формируется выручка и ведётся аналитика доходов.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Зарядная станция (далее также аппарат) - отдельное техническое устройство, размещённое на площадке и предназначенное для отпуска электрической энергии.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Коннектор - пост отпуска электрической энергии в составе зарядной станции.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Замораживающее событие - первое из наступивших событий: привязка договора к объекту, государственная регистрация прав на земельный участок, ввод зарядной станции в эксплуатацию. С даты замораживающего события идентификаторы объекта изменению не подлежат.</w:t>
      </w:r>
    </w:p>
    <w:p>
      <w:pPr>
        <w:spacing w:after="140" w:line="276"/>
      </w:pPr>
      <w:r>
        <w:t xml:space="preserve">1.3. На одной площадке может размещаться одна или несколько точек обслуживания. Точка обслуживания включает одну или несколько зарядных станций. Зарядная станция содержит один или несколько коннекторов.</w:t>
      </w:r>
    </w:p>
    <w:p>
      <w:pPr>
        <w:pStyle w:val="Heading1"/>
        <w:spacing w:after="160" w:before="300"/>
      </w:pPr>
      <w:r>
        <w:t xml:space="preserve">2. Жизненный цикл площадки и точки обслуживания</w:t>
      </w:r>
    </w:p>
    <w:p>
      <w:pPr>
        <w:spacing w:after="140" w:line="276"/>
      </w:pPr>
      <w:r>
        <w:t xml:space="preserve">2.1. Учётная запись площадки создаётся с момента появления сведений о потенциальном месте размещения объектов (лида) и ведётся независимо от того, будет ли место реализовано.</w:t>
      </w:r>
    </w:p>
    <w:p>
      <w:pPr>
        <w:spacing w:after="140" w:line="276"/>
      </w:pPr>
      <w:r>
        <w:t xml:space="preserve">2.2. Площадка последовательно принимает следующие состояния: кандидат, в проработке, оформлена, действующая, отклонена или выведена. Состояние изменяется по факту наступления соответствующего события с указанием его даты.</w:t>
      </w:r>
    </w:p>
    <w:p>
      <w:pPr>
        <w:spacing w:after="140" w:line="276"/>
      </w:pPr>
      <w:r>
        <w:t xml:space="preserve">2.3. Учётная запись точки обслуживания создаётся с момента появления коммерческого намерения разместить объекты, в том числе при заключении договора, не называющего конкретные места размещения.</w:t>
      </w:r>
    </w:p>
    <w:p>
      <w:pPr>
        <w:spacing w:after="140" w:line="276"/>
      </w:pPr>
      <w:r>
        <w:t xml:space="preserve">2.4. До наступления замораживающего события точка обслуживания может быть перепривязана к другой площадке. После наступления замораживающего события перепривязка оформляется документом с указанием основания.</w:t>
      </w:r>
    </w:p>
    <w:p>
      <w:pPr>
        <w:spacing w:after="140" w:line="276"/>
      </w:pPr>
      <w:r>
        <w:t xml:space="preserve">2.5. Записи, не дошедшие до реализации, не удаляются: им присваивается состояние «отклонена» с указанием причины и даты.</w:t>
      </w:r>
    </w:p>
    <w:p>
      <w:pPr>
        <w:pStyle w:val="Heading1"/>
        <w:spacing w:after="160" w:before="300"/>
      </w:pPr>
      <w:r>
        <w:t xml:space="preserve">3. Единицы учёта</w:t>
      </w:r>
    </w:p>
    <w:p>
      <w:pPr>
        <w:spacing w:after="140" w:line="276"/>
      </w:pPr>
      <w:r>
        <w:t xml:space="preserve">3.1. Единицей бухгалтерского учёта основных средств признаётся зарядная станция (аппарат). Инвентарный объект формируется в отношении каждой зарядной станции независимо от количества станций, размещённых на одной площадке или в составе одной точки обслуживания.</w:t>
      </w:r>
    </w:p>
    <w:p>
      <w:pPr>
        <w:spacing w:after="140" w:line="276"/>
      </w:pPr>
      <w:r>
        <w:t xml:space="preserve">3.2. Коннектор самостоятельным объектом основных средств не признаётся и учитывается в составе зарядной станции как её техническая характеристика.</w:t>
      </w:r>
    </w:p>
    <w:p>
      <w:pPr>
        <w:spacing w:after="140" w:line="276"/>
      </w:pPr>
      <w:r>
        <w:t xml:space="preserve">3.3. Единицей аналитического учёта доходов признаётся точка обслуживания. Выручка точки обслуживания не прерывается при замене зарядной станции, размещённой на этой точке.</w:t>
      </w:r>
    </w:p>
    <w:p>
      <w:pPr>
        <w:spacing w:after="140" w:line="276"/>
      </w:pPr>
      <w:r>
        <w:t xml:space="preserve">3.4. Единицей учёта прав пользования земельными участками и затрат на технологическое присоединение признаётся площадка. Права пользования земельными участками учитываются в порядке, установленном ФСБУ 25/2018.</w:t>
      </w:r>
    </w:p>
    <w:p>
      <w:pPr>
        <w:spacing w:after="140" w:line="276"/>
      </w:pPr>
      <w:r>
        <w:t xml:space="preserve">3.5. Затраты, формирующие стоимость объекта до его ввода в эксплуатацию, учитываются в порядке, установленном ФСБУ 26/2020. Затраты по площадкам, не дошедшим до реализации, списываются в порядке, установленном [приказ организации].</w:t>
      </w:r>
    </w:p>
    <w:p>
      <w:pPr>
        <w:pStyle w:val="Heading1"/>
        <w:spacing w:after="160" w:before="300"/>
      </w:pPr>
      <w:r>
        <w:t xml:space="preserve">4. Идентификация объектов</w:t>
      </w:r>
    </w:p>
    <w:p>
      <w:pPr>
        <w:spacing w:after="140" w:line="276"/>
      </w:pPr>
      <w:r>
        <w:t xml:space="preserve">4.1. Каждому объекту присваиваются следующие идентификаторы: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71"/>
      </w:tblGrid>
      <w:tr>
        <w:trPr>
          <w:tblHeader/>
        </w:trP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Идентификатор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/>
                <w:bCs/>
                <w:sz w:val="19"/>
                <w:szCs w:val="19"/>
              </w:rPr>
              <w:t xml:space="preserve">Кто присваивает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Площадка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площадки формата PL-RR-NNNN, где RR - код субъекта Российской Федерации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информационная система при создании учётной записи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Точка обслуживания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точки обслуживания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информационная система при создании учётной записи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Зарядная станция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инвентарный номер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бухгалтерская служба средствами 1С при принятии объекта к учёту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Зарядная станция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заводской номер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завод-изготовитель, принимается как есть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Коннектор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номер станции и порядковый номер коннектора в её составе</w:t>
            </w:r>
          </w:p>
        </w:tc>
        <w:tc>
          <w:tcPr>
            <w:tcW w:type="dxa" w:w="35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информационная система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40" w:line="276"/>
      </w:pPr>
      <w:r>
        <w:t xml:space="preserve">4.2. Номера площадки и точки обслуживания присваиваются информационной системой автоматически. Оператор системы вправе скорректировать присвоенный номер до наступления замораживающего события. После наступления замораживающего события номер изменению не подлежит.</w:t>
      </w:r>
    </w:p>
    <w:p>
      <w:pPr>
        <w:spacing w:after="140" w:line="276"/>
      </w:pPr>
      <w:r>
        <w:t xml:space="preserve">4.3. Инвентарный номер является единственным идентификатором зарядной станции для целей бухгалтерского учёта. Наличие инвентарного номера означает принятие объекта к бухгалтерскому учёту.</w:t>
      </w:r>
    </w:p>
    <w:p>
      <w:pPr>
        <w:spacing w:after="140" w:line="276"/>
      </w:pPr>
      <w:r>
        <w:t xml:space="preserve">4.4. Инвентарный номер присваивается однократно и не изменяется в течение всего срока нахождения объекта в организации, в том числе при перемещении зарядной станции между точками обслуживания и площадками.</w:t>
      </w:r>
    </w:p>
    <w:p>
      <w:pPr>
        <w:spacing w:after="140" w:line="276"/>
      </w:pPr>
      <w:r>
        <w:t xml:space="preserve">4.5. Номер точки обслуживания присваивается месту размещения и сохраняется при замене зарядной станции. Номер точки обслуживания не является идентификатором объекта основных средств.</w:t>
      </w:r>
    </w:p>
    <w:p>
      <w:pPr>
        <w:spacing w:after="140" w:line="276"/>
      </w:pPr>
      <w:r>
        <w:t xml:space="preserve">4.6. Номер точки обслуживания и номер площадки, освободившиеся в связи с прекращением деятельности точки или отклонением площадки, повторному присвоению не подлежат.</w:t>
      </w:r>
    </w:p>
    <w:p>
      <w:pPr>
        <w:spacing w:after="140" w:line="276"/>
      </w:pPr>
      <w:r>
        <w:t xml:space="preserve">4.7. Коннекторы одного типа, размещённые на одной точке обслуживания, различаются номером станции и порядковым номером коннектора. Для публикации сведений во внешних системах применяется идентификатор EVSE, присваиваемый по международному стандарту.</w:t>
      </w:r>
    </w:p>
    <w:p>
      <w:pPr>
        <w:spacing w:after="140" w:line="276"/>
      </w:pPr>
      <w:r>
        <w:t xml:space="preserve">4.8. Наименование объекта (название станции, точки, площадки) идентификатором не является и может изменяться без оформления учётных документов.</w:t>
      </w:r>
    </w:p>
    <w:p>
      <w:pPr>
        <w:pStyle w:val="Heading1"/>
        <w:spacing w:after="160" w:before="300"/>
      </w:pPr>
      <w:r>
        <w:t xml:space="preserve">5. Реестр соответствия внешних идентификаторов</w:t>
      </w:r>
    </w:p>
    <w:p>
      <w:pPr>
        <w:spacing w:after="140" w:line="276"/>
      </w:pPr>
      <w:r>
        <w:t xml:space="preserve">5.1. Организация ведёт реестр соответствия внутренних идентификаторов объектов кодам внешних информационных систем: программно-аппаратного комплекса управления зарядной инфраструктурой, систем технического обслуживания, систем оператора зарядной сети и иных.</w:t>
      </w:r>
    </w:p>
    <w:p>
      <w:pPr>
        <w:spacing w:after="140" w:line="276"/>
      </w:pPr>
      <w:r>
        <w:t xml:space="preserve">5.2. Запись реестра содержит: наименование внешней системы, роль кода в этой системе, уровень объекта (площадка, точка обслуживания, станция, коннектор), значение кода, дату начала и дату окончания действия значения, источник сведений.</w:t>
      </w:r>
    </w:p>
    <w:p>
      <w:pPr>
        <w:spacing w:after="140" w:line="276"/>
      </w:pPr>
      <w:r>
        <w:t xml:space="preserve">5.3. При изменении внешнего кода прежнее значение сохраняется в реестре с указанием даты окончания действия. Удаление прежних значений не допускается.</w:t>
      </w:r>
    </w:p>
    <w:p>
      <w:pPr>
        <w:spacing w:after="140" w:line="276"/>
      </w:pPr>
      <w:r>
        <w:t xml:space="preserve">5.4. При сопоставлении сведений внешних систем с объектами учёта применяется следующий приоритет идентификаторов: заводской номер, затем идентификатор станции в программно-аппаратном комплексе, затем идентификатор станции в протоколе OCPP, затем номер точки обслуживания.</w:t>
      </w:r>
    </w:p>
    <w:p>
      <w:pPr>
        <w:spacing w:after="140" w:line="276"/>
      </w:pPr>
      <w:r>
        <w:t xml:space="preserve">5.5. Сопоставление по номеру точки обслуживания применяется только при отсутствии совпадений по идентификаторам, указанным в пункте 5.4, и при условии, что номер принадлежит единственному объекту.</w:t>
      </w:r>
    </w:p>
    <w:p>
      <w:pPr>
        <w:pStyle w:val="Heading1"/>
        <w:spacing w:after="160" w:before="300"/>
      </w:pPr>
      <w:r>
        <w:t xml:space="preserve">6. Требования к информационной системе</w:t>
      </w:r>
    </w:p>
    <w:p>
      <w:pPr>
        <w:spacing w:after="140" w:line="276"/>
      </w:pPr>
      <w:r>
        <w:t xml:space="preserve">6.1. Правила настоящего раздела обеспечиваются средствами информационной системы, а не организационным порядком.</w:t>
      </w:r>
    </w:p>
    <w:p>
      <w:pPr>
        <w:spacing w:after="140" w:line="276"/>
      </w:pPr>
      <w:r>
        <w:t xml:space="preserve">6.2. Информационная система обеспечивает: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автоматическое присвоение номера площадки и номера точки обслуживания при создании учётной записи;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контроль уникальности номера в пределах организации при его присвоении и корректировке;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запрет изменения идентификаторов после наступления замораживающего события;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запрет повторного присвоения освободившегося номера;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запрет удаления записей реестра соответствия внешних идентификаторов и учётных записей объектов; вместо удаления применяется изменение состояния;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ведение истории изменений с указанием автора, даты и прежнего значения.</w:t>
      </w:r>
    </w:p>
    <w:p>
      <w:pPr>
        <w:spacing w:after="140" w:line="276"/>
      </w:pPr>
      <w:r>
        <w:t xml:space="preserve">6.3. Действия, выполненные в обход указанных ограничений, фиксируются в журнале с указанием основания.</w:t>
      </w:r>
    </w:p>
    <w:p>
      <w:pPr>
        <w:pStyle w:val="Heading1"/>
        <w:spacing w:after="160" w:before="300"/>
      </w:pPr>
      <w:r>
        <w:t xml:space="preserve">7. Учёт операций с объектами</w:t>
      </w:r>
    </w:p>
    <w:p>
      <w:pPr>
        <w:spacing w:after="140" w:line="276"/>
      </w:pPr>
      <w:r>
        <w:t xml:space="preserve">7.1. Принятие зарядной станции к учёту оформляется актом о приёме-передаче объекта основных средств. С даты принятия к учёту объекту присваивается инвентарный номер и указывается точка обслуживания размещения.</w:t>
      </w:r>
    </w:p>
    <w:p>
      <w:pPr>
        <w:spacing w:after="140" w:line="276"/>
      </w:pPr>
      <w:r>
        <w:t xml:space="preserve">7.2. Перемещение зарядной станции между точками обслуживания оформляется накладной на внутреннее перемещение объектов основных средств. Инвентарный номер объекта при перемещении не изменяется. Сведения о месте размещения сохраняются в виде истории с указанием периодов размещения.</w:t>
      </w:r>
    </w:p>
    <w:p>
      <w:pPr>
        <w:spacing w:after="140" w:line="276"/>
      </w:pPr>
      <w:r>
        <w:t xml:space="preserve">7.3. Замена зарядной станции на точке обслуживания отражается как выбытие ранее установленного объекта и принятие к учёту нового объекта. Номер точки обслуживания при этом не изменяется.</w:t>
      </w:r>
    </w:p>
    <w:p>
      <w:pPr>
        <w:spacing w:after="140" w:line="276"/>
      </w:pPr>
      <w:r>
        <w:t xml:space="preserve">7.4. Размещение дополнительной зарядной станции на действующей точке обслуживания отражается как принятие к учёту нового объекта основных средств без изменения номера точки.</w:t>
      </w:r>
    </w:p>
    <w:p>
      <w:pPr>
        <w:spacing w:after="140" w:line="276"/>
      </w:pPr>
      <w:r>
        <w:t xml:space="preserve">7.5. Выбытие зарядной станции оформляется актом о списании объекта основных средств. Дата выбытия подлежит обязательному указанию.</w:t>
      </w:r>
    </w:p>
    <w:p>
      <w:pPr>
        <w:spacing w:after="140" w:line="276"/>
      </w:pPr>
      <w:r>
        <w:t xml:space="preserve">7.6. Затраты на технологическое присоединение к электрическим сетям учитываются в порядке, установленном [приказ организации].</w:t>
      </w:r>
    </w:p>
    <w:p>
      <w:pPr>
        <w:pStyle w:val="Heading1"/>
        <w:spacing w:after="160" w:before="300"/>
      </w:pPr>
      <w:r>
        <w:t xml:space="preserve">8. Ответственность и сроки</w:t>
      </w:r>
    </w:p>
    <w:p>
      <w:pPr>
        <w:spacing w:after="140" w:line="276"/>
      </w:pPr>
      <w:r>
        <w:t xml:space="preserve">8.1. Подразделение, ответственное за эксплуатацию сети, передаёт в бухгалтерскую службу сведения, необходимые для принятия объекта к учёту, не позднее [указать срок] рабочих дней с даты ввода зарядной станции в эксплуатацию. Понятие ввода в эксплуатацию определяется [приказ организации].</w:t>
      </w:r>
    </w:p>
    <w:p>
      <w:pPr>
        <w:spacing w:after="140" w:line="276"/>
      </w:pPr>
      <w:r>
        <w:t xml:space="preserve">8.2. Бухгалтерская служба присваивает инвентарный номер и принимает объект к учёту не позднее 3 рабочих дней с даты получения сведений, указанных в пункте 8.1.</w:t>
      </w:r>
    </w:p>
    <w:p>
      <w:pPr>
        <w:spacing w:after="140" w:line="276"/>
      </w:pPr>
      <w:r>
        <w:t xml:space="preserve">8.3. Подразделение, ответственное за земельно-имущественные отношения, передаёт сведения об оформлении прав на земельный участок в информационную систему не позднее 3 рабочих дней с даты государственной регистрации прав.</w:t>
      </w:r>
    </w:p>
    <w:p>
      <w:pPr>
        <w:spacing w:after="140" w:line="276"/>
      </w:pPr>
      <w:r>
        <w:t xml:space="preserve">8.4. Ведение реестра соответствия внешних идентификаторов обеспечивает подразделение, ответственное за эксплуатацию. Записи вносятся средствами информационной системы; внесение записи вручную допускается с указанием основания.</w:t>
      </w:r>
    </w:p>
    <w:p>
      <w:pPr>
        <w:pStyle w:val="Heading1"/>
        <w:spacing w:after="160" w:before="300"/>
      </w:pPr>
      <w:r>
        <w:t xml:space="preserve">9. Контроль</w:t>
      </w:r>
    </w:p>
    <w:p>
      <w:pPr>
        <w:spacing w:after="140" w:line="276"/>
      </w:pPr>
      <w:r>
        <w:t xml:space="preserve">9.1. Сверка данных учёта объектов зарядной инфраструктуры проводится ежеквартально, в течение 10 рабочих дней после окончания отчётного периода. В ходе сверки выявляются: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зарядные станции, введённые в эксплуатацию и не принятые к бухгалтерскому учёту (инвентарный номер отсутствует);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объекты, которым присвоен один и тот же номер точки обслуживания;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объекты, по которым отсутствует дата принятия к учёту или дата выбытия;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площадки и точки обслуживания, состояние которых не изменялось более [указать срок];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сведения информационных систем, не сопоставленные с объектами учёта.</w:t>
      </w:r>
    </w:p>
    <w:p>
      <w:pPr>
        <w:spacing w:after="140" w:line="276"/>
      </w:pPr>
      <w:r>
        <w:t xml:space="preserve">9.2. Результаты сверки оформляются [наименование документа] и передаются [подразделение] для устранения расхождений не позднее 10 рабочих дней.</w:t>
      </w:r>
    </w:p>
    <w:p>
      <w:pPr>
        <w:pStyle w:val="Heading1"/>
        <w:spacing w:after="160" w:before="300"/>
      </w:pPr>
      <w:r>
        <w:t xml:space="preserve">10. Введение в действие и переходные положения</w:t>
      </w:r>
    </w:p>
    <w:p>
      <w:pPr>
        <w:spacing w:after="140" w:line="276"/>
      </w:pPr>
      <w:r>
        <w:t xml:space="preserve">10.1. Настоящий раздел вводится в действие приказом организации с даты, указанной в приказе.</w:t>
      </w:r>
    </w:p>
    <w:p>
      <w:pPr>
        <w:spacing w:after="140" w:line="276"/>
      </w:pPr>
      <w:r>
        <w:t xml:space="preserve">10.2. Номера точек обслуживания, присвоенные до введения раздела в действие, сохраняются. Приведение их к правилам настоящего раздела не производится.</w:t>
      </w:r>
    </w:p>
    <w:p>
      <w:pPr>
        <w:spacing w:after="140" w:line="276"/>
      </w:pPr>
      <w:r>
        <w:t xml:space="preserve">10.3. Номера площадок присваиваются информационной системой всем учётным записям, существующим на дату введения раздела в действие, в срок [указать срок].</w:t>
      </w:r>
    </w:p>
    <w:p>
      <w:pPr>
        <w:spacing w:after="140" w:line="276"/>
      </w:pPr>
      <w:r>
        <w:t xml:space="preserve">10.4. Сведения о внешних идентификаторах, накопленные до введения раздела в действие, переносятся в реестр соответствия с указанием источника и даты начала действия в срок [указать срок].</w:t>
      </w:r>
    </w:p>
    <w:p>
      <w:pPr>
        <w:pageBreakBefore/>
        <w:spacing w:after="160"/>
      </w:pPr>
      <w:r>
        <w:rPr>
          <w:b/>
          <w:bCs/>
          <w:sz w:val="26"/>
          <w:szCs w:val="26"/>
        </w:rPr>
        <w:t xml:space="preserve">Что остаётся определить до утверждения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Что считать вводом зарядной станции в эксплуатацию. От этой даты отсчитывается срок передачи сведений в бухгалтерию и начинается начисление амортизации. Требуется совместное решение эксплуатации и бухгалтерской службы.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Что считать оформлением прав на земельный участок. Предложено считать таковым государственную регистрацию прав; иной момент требует прямого указания.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Срок передачи сведений о вводе станции в эксплуатацию, пункт 8.1.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Порядок учёта затрат на технологическое присоединение и на площадки, не дошедшие до реализации, пункты 3.5 и 7.6.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Сроки переходных мероприятий, пункты 10.3 и 10.4.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Срок, после которого площадка без изменения состояния попадает в отчёт о сверке, пункт 9.1.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Идентификация и учёт объектов зарядной инфраструктуры</dc:title>
  <dc:creator>ЭлсиПлюс</dc:creator>
  <cp:lastModifiedBy>Un-named</cp:lastModifiedBy>
  <cp:revision>1</cp:revision>
  <dcterms:created xsi:type="dcterms:W3CDTF">2026-08-13T18:24:28.984Z</dcterms:created>
  <dcterms:modified xsi:type="dcterms:W3CDTF">2026-08-13T18:24:28.984Z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