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тсо-терминал-самообслуживания"/>
    <w:p>
      <w:pPr>
        <w:pStyle w:val="Heading1"/>
      </w:pPr>
      <w:r>
        <w:t xml:space="preserve">ТСО — Терминал самообслуживания</w:t>
      </w:r>
    </w:p>
    <w:bookmarkStart w:id="9" w:name="технический-паспорт"/>
    <w:p>
      <w:pPr>
        <w:pStyle w:val="Heading2"/>
      </w:pPr>
      <w:r>
        <w:t xml:space="preserve">Технический паспорт</w:t>
      </w:r>
    </w:p>
    <w:p>
      <w:r>
        <w:pict>
          <v:rect style="width:0;height:1.5pt" o:hralign="center" o:hrstd="t" o:hr="t"/>
        </w:pict>
      </w:r>
    </w:p>
    <w:bookmarkEnd w:id="9"/>
    <w:bookmarkStart w:id="10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Xb5d865a5c3724bf840c108dcff06c2c03cee23a">
        <w:r>
          <w:rPr>
            <w:rStyle w:val="Hyperlink"/>
          </w:rPr>
          <w:t xml:space="preserve">Общие сведения</w:t>
        </w:r>
      </w:hyperlink>
    </w:p>
    <w:p>
      <w:pPr>
        <w:pStyle w:val="Compact"/>
        <w:numPr>
          <w:ilvl w:val="0"/>
          <w:numId w:val="1001"/>
        </w:numPr>
      </w:pPr>
      <w:hyperlink w:anchor="Xb74d04720f3cd5701b443a802111bd254aa64fe">
        <w:r>
          <w:rPr>
            <w:rStyle w:val="Hyperlink"/>
          </w:rPr>
          <w:t xml:space="preserve">Требования безопасности</w:t>
        </w:r>
      </w:hyperlink>
    </w:p>
    <w:p>
      <w:pPr>
        <w:pStyle w:val="Compact"/>
        <w:numPr>
          <w:ilvl w:val="0"/>
          <w:numId w:val="1001"/>
        </w:numPr>
      </w:pPr>
      <w:hyperlink w:anchor="X57eb77558e9e93118035414092597d986acdfd1">
        <w:r>
          <w:rPr>
            <w:rStyle w:val="Hyperlink"/>
          </w:rPr>
          <w:t xml:space="preserve">Подготовка к работе</w:t>
        </w:r>
      </w:hyperlink>
    </w:p>
    <w:p>
      <w:pPr>
        <w:pStyle w:val="Compact"/>
        <w:numPr>
          <w:ilvl w:val="0"/>
          <w:numId w:val="1001"/>
        </w:numPr>
      </w:pPr>
      <w:hyperlink w:anchor="X32d368c3ba01b11c7c4a9c0779463a9d8482b6e">
        <w:r>
          <w:rPr>
            <w:rStyle w:val="Hyperlink"/>
          </w:rPr>
          <w:t xml:space="preserve">Инструкция по эксплуатации</w:t>
        </w:r>
      </w:hyperlink>
    </w:p>
    <w:p>
      <w:pPr>
        <w:pStyle w:val="Compact"/>
        <w:numPr>
          <w:ilvl w:val="0"/>
          <w:numId w:val="1001"/>
        </w:numPr>
      </w:pPr>
      <w:hyperlink w:anchor="X758454bcf9a1fdc0a6c5ea05683c5a256db2806">
        <w:r>
          <w:rPr>
            <w:rStyle w:val="Hyperlink"/>
          </w:rPr>
          <w:t xml:space="preserve">Техническое обслуживание</w:t>
        </w:r>
      </w:hyperlink>
    </w:p>
    <w:p>
      <w:pPr>
        <w:pStyle w:val="Compact"/>
        <w:numPr>
          <w:ilvl w:val="0"/>
          <w:numId w:val="1001"/>
        </w:numPr>
      </w:pPr>
      <w:hyperlink w:anchor="Xbe409161a91383f5b5b55faa8c013634666202e">
        <w:r>
          <w:rPr>
            <w:rStyle w:val="Hyperlink"/>
          </w:rPr>
          <w:t xml:space="preserve">Условия хранения</w:t>
        </w:r>
      </w:hyperlink>
    </w:p>
    <w:p>
      <w:pPr>
        <w:pStyle w:val="Compact"/>
        <w:numPr>
          <w:ilvl w:val="0"/>
          <w:numId w:val="1001"/>
        </w:numPr>
      </w:pPr>
      <w:hyperlink w:anchor="Xa566582cbb2da2ed49087e1d37f1d096a86ce40">
        <w:r>
          <w:rPr>
            <w:rStyle w:val="Hyperlink"/>
          </w:rPr>
          <w:t xml:space="preserve">Транспортировка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23" w:name="общие-сведения"/>
    <w:p>
      <w:pPr>
        <w:pStyle w:val="Heading2"/>
      </w:pPr>
      <w:r>
        <w:t xml:space="preserve">1. Общие сведения</w:t>
      </w:r>
    </w:p>
    <w:bookmarkStart w:id="11" w:name="назначение-изделия"/>
    <w:p>
      <w:pPr>
        <w:pStyle w:val="Heading3"/>
      </w:pPr>
      <w:r>
        <w:t xml:space="preserve">1.1 Назначение изделия</w:t>
      </w:r>
    </w:p>
    <w:p>
      <w:pPr>
        <w:pStyle w:val="FirstParagraph"/>
      </w:pPr>
      <w:r>
        <w:t xml:space="preserve">Терминал самообслуживания (ТСО) — программно-аппаратный комплекс, предназначенный для самостоятельного управления клиентом процессом оплаты и отпуска нефтепродуктов на АЗС.</w:t>
      </w:r>
    </w:p>
    <w:p>
      <w:pPr>
        <w:pStyle w:val="BodyText"/>
      </w:pPr>
      <w:r>
        <w:t xml:space="preserve">ТСО обеспечивает:</w:t>
      </w:r>
      <w:r>
        <w:t xml:space="preserve"> </w:t>
      </w:r>
      <w:r>
        <w:t xml:space="preserve">- Приём оплаты наличными (купюры)</w:t>
      </w:r>
      <w:r>
        <w:t xml:space="preserve"> </w:t>
      </w:r>
      <w:r>
        <w:t xml:space="preserve">- Приём оплаты банковскими картами</w:t>
      </w:r>
      <w:r>
        <w:t xml:space="preserve"> </w:t>
      </w:r>
      <w:r>
        <w:t xml:space="preserve">- Приём оплаты топливными картами</w:t>
      </w:r>
      <w:r>
        <w:t xml:space="preserve"> </w:t>
      </w:r>
      <w:r>
        <w:t xml:space="preserve">- Печать фискальных чеков</w:t>
      </w:r>
      <w:r>
        <w:t xml:space="preserve"> </w:t>
      </w:r>
      <w:r>
        <w:t xml:space="preserve">- Управление топливораздаточными колонками</w:t>
      </w:r>
      <w:r>
        <w:t xml:space="preserve"> </w:t>
      </w:r>
      <w:r>
        <w:t xml:space="preserve">- Передачу данных в облачную платформу TradeFrame</w:t>
      </w:r>
    </w:p>
    <w:bookmarkEnd w:id="11"/>
    <w:bookmarkStart w:id="12" w:name="особенности-конструкции"/>
    <w:p>
      <w:pPr>
        <w:pStyle w:val="Heading3"/>
      </w:pPr>
      <w:r>
        <w:t xml:space="preserve">1.2 Особенности конструкции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Уличное исполнение</w:t>
      </w:r>
      <w:r>
        <w:t xml:space="preserve"> </w:t>
      </w:r>
      <w:r>
        <w:t xml:space="preserve">— терминал спроектирован для работы в уличных условиях (солнце, пыль, влага, перепады температур)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Раздельные зоны доступа</w:t>
      </w:r>
      <w:r>
        <w:t xml:space="preserve"> </w:t>
      </w:r>
      <w:r>
        <w:t xml:space="preserve">— отдельные отсеки для инкассации, обслуживания и критических узлов управления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Антивандальная защита</w:t>
      </w:r>
      <w:r>
        <w:t xml:space="preserve"> </w:t>
      </w:r>
      <w:r>
        <w:t xml:space="preserve">— части, подверженные механическому воздействию, выполнены из нержавеющей стали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Модульная конструкция</w:t>
      </w:r>
      <w:r>
        <w:t xml:space="preserve"> </w:t>
      </w:r>
      <w:r>
        <w:t xml:space="preserve">— позволяет использовать различные комплектующие и не зависеть от наличия конкретных моделей на рынке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Удобное обслуживание</w:t>
      </w:r>
      <w:r>
        <w:t xml:space="preserve"> </w:t>
      </w:r>
      <w:r>
        <w:t xml:space="preserve">— быстрый доступ для инкассации, замены чековой ленты и ремонта</w:t>
      </w:r>
    </w:p>
    <w:bookmarkEnd w:id="12"/>
    <w:bookmarkStart w:id="15" w:name="состав-изделия"/>
    <w:p>
      <w:pPr>
        <w:pStyle w:val="Heading3"/>
      </w:pPr>
      <w:r>
        <w:t xml:space="preserve">1.3 Состав изделия</w:t>
      </w:r>
    </w:p>
    <w:bookmarkStart w:id="13" w:name="базовая-комплектация"/>
    <w:p>
      <w:pPr>
        <w:pStyle w:val="Heading4"/>
      </w:pPr>
      <w:r>
        <w:t xml:space="preserve">Базовая комплектация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63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Сенсорный монитор</w:t>
            </w:r>
          </w:p>
        </w:tc>
        <w:tc>
          <w:tcPr/>
          <w:p>
            <w:pPr>
              <w:pStyle w:val="Compact"/>
            </w:pPr>
            <w:r>
              <w:t xml:space="preserve">Промышленная матрица, диагональ 17”–32”, ресурс более 50 000 часов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Сенсорная панель</w:t>
            </w:r>
          </w:p>
        </w:tc>
        <w:tc>
          <w:tcPr/>
          <w:p>
            <w:pPr>
              <w:pStyle w:val="Compact"/>
            </w:pPr>
            <w:r>
              <w:t xml:space="preserve">Проекционно-ёмкостная технология (PCAP), MultiTouch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Системный блок</w:t>
            </w:r>
          </w:p>
        </w:tc>
        <w:tc>
          <w:tcPr/>
          <w:p>
            <w:pPr>
              <w:pStyle w:val="Compact"/>
            </w:pPr>
            <w:r>
              <w:t xml:space="preserve">Процессор Intel Celeron/Core i3/i5, ОЗУ 8 ГБ+, SSD 120 ГБ+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Купюроприёмник</w:t>
            </w:r>
          </w:p>
        </w:tc>
        <w:tc>
          <w:tcPr/>
          <w:p>
            <w:pPr>
              <w:pStyle w:val="Compact"/>
            </w:pPr>
            <w:r>
              <w:t xml:space="preserve">Кассета на 1500 купюр, распознавание номинала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Банковский терминал</w:t>
            </w:r>
          </w:p>
        </w:tc>
        <w:tc>
          <w:tcPr/>
          <w:p>
            <w:pPr>
              <w:pStyle w:val="Compact"/>
            </w:pPr>
            <w:r>
              <w:t xml:space="preserve">Приём бесконтактных платежей (Visa, MasterCard, МИР)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Считыватель карт</w:t>
            </w:r>
          </w:p>
        </w:tc>
        <w:tc>
          <w:tcPr/>
          <w:p>
            <w:pPr>
              <w:pStyle w:val="Compact"/>
            </w:pPr>
            <w:r>
              <w:t xml:space="preserve">RFID/IC/MSR для топливных и дисконтных карт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Фискальный регистратор</w:t>
            </w:r>
          </w:p>
        </w:tc>
        <w:tc>
          <w:tcPr/>
          <w:p>
            <w:pPr>
              <w:pStyle w:val="Compact"/>
            </w:pPr>
            <w:r>
              <w:t xml:space="preserve">ККТ с фискальным накопителем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Термопринтер чеков</w:t>
            </w:r>
          </w:p>
        </w:tc>
        <w:tc>
          <w:tcPr/>
          <w:p>
            <w:pPr>
              <w:pStyle w:val="Compact"/>
            </w:pPr>
            <w:r>
              <w:t xml:space="preserve">Поддержка рулонов до 180 мм в диаметре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Климат-контроль</w:t>
            </w:r>
          </w:p>
        </w:tc>
        <w:tc>
          <w:tcPr/>
          <w:p>
            <w:pPr>
              <w:pStyle w:val="Compact"/>
            </w:pPr>
            <w:r>
              <w:t xml:space="preserve">Автоматическая система обогрева и охлаждения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Корпус</w:t>
            </w:r>
          </w:p>
        </w:tc>
        <w:tc>
          <w:tcPr/>
          <w:p>
            <w:pPr>
              <w:pStyle w:val="Compact"/>
            </w:pPr>
            <w:r>
              <w:t xml:space="preserve">Сталь с антикоррозийным покрытием, элементы из нержавеющей стали</w:t>
            </w:r>
          </w:p>
        </w:tc>
      </w:tr>
    </w:tbl>
    <w:bookmarkEnd w:id="13"/>
    <w:bookmarkStart w:id="14" w:name="дополнительные-опции"/>
    <w:p>
      <w:pPr>
        <w:pStyle w:val="Heading4"/>
      </w:pPr>
      <w:r>
        <w:t xml:space="preserve">Дополнительные опции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Опция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Сверхъяркий экран</w:t>
            </w:r>
          </w:p>
        </w:tc>
        <w:tc>
          <w:tcPr/>
          <w:p>
            <w:pPr>
              <w:pStyle w:val="Compact"/>
            </w:pPr>
            <w:r>
              <w:t xml:space="preserve">Яркость 1000–2000 кд/м² для работы под прямым солнцем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Сканер QR/штрих-кодов</w:t>
            </w:r>
          </w:p>
        </w:tc>
        <w:tc>
          <w:tcPr/>
          <w:p>
            <w:pPr>
              <w:pStyle w:val="Compact"/>
            </w:pPr>
            <w:r>
              <w:t xml:space="preserve">Считывание 1D и 2D кодов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Видеокамера</w:t>
            </w:r>
          </w:p>
        </w:tc>
        <w:tc>
          <w:tcPr/>
          <w:p>
            <w:pPr>
              <w:pStyle w:val="Compact"/>
            </w:pPr>
            <w:r>
              <w:t xml:space="preserve">Широкоугольная IP/Web камера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ИБП</w:t>
            </w:r>
          </w:p>
        </w:tc>
        <w:tc>
          <w:tcPr/>
          <w:p>
            <w:pPr>
              <w:pStyle w:val="Compact"/>
            </w:pPr>
            <w:r>
              <w:t xml:space="preserve">Источник бесперебойного питания 650+ 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Диспенсер купюр</w:t>
            </w:r>
          </w:p>
        </w:tc>
        <w:tc>
          <w:tcPr/>
          <w:p>
            <w:pPr>
              <w:pStyle w:val="Compact"/>
            </w:pPr>
            <w:r>
              <w:t xml:space="preserve">Выдача сдачи (2 номинала)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Диспенсер карт</w:t>
            </w:r>
          </w:p>
        </w:tc>
        <w:tc>
          <w:tcPr/>
          <w:p>
            <w:pPr>
              <w:pStyle w:val="Compact"/>
            </w:pPr>
            <w:r>
              <w:t xml:space="preserve">Выдача топливных/дисконтных карт</w:t>
            </w:r>
          </w:p>
        </w:tc>
      </w:tr>
    </w:tbl>
    <w:bookmarkEnd w:id="14"/>
    <w:bookmarkEnd w:id="15"/>
    <w:bookmarkStart w:id="16" w:name="комплект-поставки"/>
    <w:p>
      <w:pPr>
        <w:pStyle w:val="Heading3"/>
      </w:pPr>
      <w:r>
        <w:t xml:space="preserve">1.4 Комплект поставки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Терминал самообслуживания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Технический паспорт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Комплект ключей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Кабель питания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Лицензия на программное обеспечение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6"/>
    <w:bookmarkStart w:id="17" w:name="технические-характеристики"/>
    <w:p>
      <w:pPr>
        <w:pStyle w:val="Heading3"/>
      </w:pPr>
      <w:r>
        <w:t xml:space="preserve">1.5 Технические характеристики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Номинальное напряжение питания</w:t>
            </w:r>
          </w:p>
        </w:tc>
        <w:tc>
          <w:tcPr/>
          <w:p>
            <w:pPr>
              <w:pStyle w:val="Compact"/>
            </w:pPr>
            <w:r>
              <w:t xml:space="preserve">220 В ±15%, 50 Гц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Минимальное напряжение питания</w:t>
            </w:r>
          </w:p>
        </w:tc>
        <w:tc>
          <w:tcPr/>
          <w:p>
            <w:pPr>
              <w:pStyle w:val="Compact"/>
            </w:pPr>
            <w:r>
              <w:t xml:space="preserve">140 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Максимальное напряжение питания</w:t>
            </w:r>
          </w:p>
        </w:tc>
        <w:tc>
          <w:tcPr/>
          <w:p>
            <w:pPr>
              <w:pStyle w:val="Compact"/>
            </w:pPr>
            <w:r>
              <w:t xml:space="preserve">260 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Потребляемая мощность</w:t>
            </w:r>
          </w:p>
        </w:tc>
        <w:tc>
          <w:tcPr/>
          <w:p>
            <w:pPr>
              <w:pStyle w:val="Compact"/>
            </w:pPr>
            <w:r>
              <w:t xml:space="preserve">не более 2000 Вт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Время работы без электропитания (ИБП)</w:t>
            </w:r>
          </w:p>
        </w:tc>
        <w:tc>
          <w:tcPr/>
          <w:p>
            <w:pPr>
              <w:pStyle w:val="Compact"/>
            </w:pPr>
            <w:r>
              <w:t xml:space="preserve">до 10 минут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Время готовности после включения</w:t>
            </w:r>
          </w:p>
        </w:tc>
        <w:tc>
          <w:tcPr/>
          <w:p>
            <w:pPr>
              <w:pStyle w:val="Compact"/>
            </w:pPr>
            <w:r>
              <w:t xml:space="preserve">не более 2 минут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Режим работы</w:t>
            </w:r>
          </w:p>
        </w:tc>
        <w:tc>
          <w:tcPr/>
          <w:p>
            <w:pPr>
              <w:pStyle w:val="Compact"/>
            </w:pPr>
            <w:r>
              <w:t xml:space="preserve">непрерывный, 24/7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Степень защиты корпуса</w:t>
            </w:r>
          </w:p>
        </w:tc>
        <w:tc>
          <w:tcPr/>
          <w:p>
            <w:pPr>
              <w:pStyle w:val="Compact"/>
            </w:pPr>
            <w:r>
              <w:t xml:space="preserve">IP32 по ГОСТ 14254-96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Срок службы</w:t>
            </w:r>
          </w:p>
        </w:tc>
        <w:tc>
          <w:tcPr/>
          <w:p>
            <w:pPr>
              <w:pStyle w:val="Compact"/>
            </w:pPr>
            <w:r>
              <w:t xml:space="preserve">не менее 5 лет</w:t>
            </w:r>
          </w:p>
        </w:tc>
      </w:tr>
    </w:tbl>
    <w:bookmarkEnd w:id="17"/>
    <w:bookmarkStart w:id="18" w:name="условия-эксплуатации"/>
    <w:p>
      <w:pPr>
        <w:pStyle w:val="Heading3"/>
      </w:pPr>
      <w:r>
        <w:t xml:space="preserve">1.6 Условия эксплуатации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Температура окружающей среды</w:t>
            </w:r>
          </w:p>
        </w:tc>
        <w:tc>
          <w:tcPr/>
          <w:p>
            <w:pPr>
              <w:pStyle w:val="Compact"/>
            </w:pPr>
            <w:r>
              <w:t xml:space="preserve">от −35°С до +40°С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Относительная влажность воздуха</w:t>
            </w:r>
          </w:p>
        </w:tc>
        <w:tc>
          <w:tcPr/>
          <w:p>
            <w:pPr>
              <w:pStyle w:val="Compact"/>
            </w:pPr>
            <w:r>
              <w:t xml:space="preserve">до 95% при +40°С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Атмосферное давление</w:t>
            </w:r>
          </w:p>
        </w:tc>
        <w:tc>
          <w:tcPr/>
          <w:p>
            <w:pPr>
              <w:pStyle w:val="Compact"/>
            </w:pPr>
            <w:r>
              <w:t xml:space="preserve">от 84 до 106,7 кПа (630–800 мм рт. ст.)</w:t>
            </w:r>
          </w:p>
        </w:tc>
      </w:tr>
    </w:tbl>
    <w:p>
      <w:pPr>
        <w:pStyle w:val="BlockText"/>
      </w:pPr>
      <w:r>
        <w:rPr>
          <w:b/>
          <w:bCs/>
        </w:rPr>
        <w:t xml:space="preserve">ВНИМАНИЕ!</w:t>
      </w:r>
      <w:r>
        <w:t xml:space="preserve"> </w:t>
      </w:r>
      <w:r>
        <w:t xml:space="preserve">После транспортировки при температуре ниже 0°С терминал следует выдержать перед включением не менее 2 часов при комнатной температуре или при включённом внутреннем обогревателе.</w:t>
      </w:r>
    </w:p>
    <w:bookmarkEnd w:id="18"/>
    <w:bookmarkStart w:id="19" w:name="дисплей"/>
    <w:p>
      <w:pPr>
        <w:pStyle w:val="Heading3"/>
      </w:pPr>
      <w:r>
        <w:t xml:space="preserve">1.7 Дисплей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матрицы</w:t>
            </w:r>
          </w:p>
        </w:tc>
        <w:tc>
          <w:tcPr/>
          <w:p>
            <w:pPr>
              <w:pStyle w:val="Compact"/>
            </w:pPr>
            <w:r>
              <w:t xml:space="preserve">Промышленная, класс 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Диагональ</w:t>
            </w:r>
          </w:p>
        </w:tc>
        <w:tc>
          <w:tcPr/>
          <w:p>
            <w:pPr>
              <w:pStyle w:val="Compact"/>
            </w:pPr>
            <w:r>
              <w:t xml:space="preserve">17” / 22” / 31,5” (в зависимости от модификации)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Разрешение</w:t>
            </w:r>
          </w:p>
        </w:tc>
        <w:tc>
          <w:tcPr/>
          <w:p>
            <w:pPr>
              <w:pStyle w:val="Compact"/>
            </w:pPr>
            <w:r>
              <w:t xml:space="preserve">1280×1024 (17”) / 1920×1080 Full HD (22”, 32”)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Яркость</w:t>
            </w:r>
          </w:p>
        </w:tc>
        <w:tc>
          <w:tcPr/>
          <w:p>
            <w:pPr>
              <w:pStyle w:val="Compact"/>
            </w:pPr>
            <w:r>
              <w:t xml:space="preserve">500 кд/м² (стандарт) / 1000–2000 кд/м² (сверхъяркий)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Сенсор</w:t>
            </w:r>
          </w:p>
        </w:tc>
        <w:tc>
          <w:tcPr/>
          <w:p>
            <w:pPr>
              <w:pStyle w:val="Compact"/>
            </w:pPr>
            <w:r>
              <w:t xml:space="preserve">Проекционно-ёмкостный (PCAP), MultiTouch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более 50 000 часов</w:t>
            </w:r>
          </w:p>
        </w:tc>
      </w:tr>
    </w:tbl>
    <w:bookmarkEnd w:id="19"/>
    <w:bookmarkStart w:id="20" w:name="системный-блок"/>
    <w:p>
      <w:pPr>
        <w:pStyle w:val="Heading3"/>
      </w:pPr>
      <w:r>
        <w:t xml:space="preserve">1.8 Системный блок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Процессор</w:t>
            </w:r>
          </w:p>
        </w:tc>
        <w:tc>
          <w:tcPr/>
          <w:p>
            <w:pPr>
              <w:pStyle w:val="Compact"/>
            </w:pPr>
            <w:r>
              <w:t xml:space="preserve">Intel Celeron G5905 / J4125 / Core i3 / Core i5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Оперативная память</w:t>
            </w:r>
          </w:p>
        </w:tc>
        <w:tc>
          <w:tcPr/>
          <w:p>
            <w:pPr>
              <w:pStyle w:val="Compact"/>
            </w:pPr>
            <w:r>
              <w:t xml:space="preserve">8 ГБ DDR4 (расширяемая)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Накопитель</w:t>
            </w:r>
          </w:p>
        </w:tc>
        <w:tc>
          <w:tcPr/>
          <w:p>
            <w:pPr>
              <w:pStyle w:val="Compact"/>
            </w:pPr>
            <w:r>
              <w:t xml:space="preserve">SSD 120 ГБ+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Интерфейсы</w:t>
            </w:r>
          </w:p>
        </w:tc>
        <w:tc>
          <w:tcPr/>
          <w:p>
            <w:pPr>
              <w:pStyle w:val="Compact"/>
            </w:pPr>
            <w:r>
              <w:t xml:space="preserve">RJ45, USB, HDMI, VGA, Audio, RS232</w:t>
            </w:r>
          </w:p>
        </w:tc>
      </w:tr>
    </w:tbl>
    <w:bookmarkEnd w:id="20"/>
    <w:bookmarkStart w:id="21" w:name="система-климат-контроля"/>
    <w:p>
      <w:pPr>
        <w:pStyle w:val="Heading3"/>
      </w:pPr>
      <w:r>
        <w:t xml:space="preserve">1.9 Система климат-контроля</w:t>
      </w:r>
    </w:p>
    <w:p>
      <w:pPr>
        <w:pStyle w:val="Compact"/>
        <w:numPr>
          <w:ilvl w:val="0"/>
          <w:numId w:val="1003"/>
        </w:numPr>
      </w:pPr>
      <w:r>
        <w:t xml:space="preserve">Автоматический обогрев при низких температурах</w:t>
      </w:r>
    </w:p>
    <w:p>
      <w:pPr>
        <w:pStyle w:val="Compact"/>
        <w:numPr>
          <w:ilvl w:val="0"/>
          <w:numId w:val="1003"/>
        </w:numPr>
      </w:pPr>
      <w:r>
        <w:t xml:space="preserve">Система охлаждения монитора в жаркое время</w:t>
      </w:r>
    </w:p>
    <w:p>
      <w:pPr>
        <w:pStyle w:val="Compact"/>
        <w:numPr>
          <w:ilvl w:val="0"/>
          <w:numId w:val="1003"/>
        </w:numPr>
      </w:pPr>
      <w:r>
        <w:t xml:space="preserve">Приточная и вытяжная вентиляция</w:t>
      </w:r>
    </w:p>
    <w:p>
      <w:pPr>
        <w:pStyle w:val="Compact"/>
        <w:numPr>
          <w:ilvl w:val="0"/>
          <w:numId w:val="1003"/>
        </w:numPr>
      </w:pPr>
      <w:r>
        <w:t xml:space="preserve">Фильтрация воздуха (защита от пыли и насекомых)</w:t>
      </w:r>
    </w:p>
    <w:p>
      <w:pPr>
        <w:pStyle w:val="Compact"/>
        <w:numPr>
          <w:ilvl w:val="0"/>
          <w:numId w:val="1003"/>
        </w:numPr>
      </w:pPr>
      <w:r>
        <w:t xml:space="preserve">Датчик температуры с автоматическим управлением</w:t>
      </w:r>
    </w:p>
    <w:bookmarkEnd w:id="21"/>
    <w:bookmarkStart w:id="22" w:name="электрооборудование"/>
    <w:p>
      <w:pPr>
        <w:pStyle w:val="Heading3"/>
      </w:pPr>
      <w:r>
        <w:t xml:space="preserve">1.10 Электрооборудование</w:t>
      </w:r>
    </w:p>
    <w:p>
      <w:pPr>
        <w:pStyle w:val="Compact"/>
        <w:numPr>
          <w:ilvl w:val="0"/>
          <w:numId w:val="1004"/>
        </w:numPr>
      </w:pPr>
      <w:r>
        <w:t xml:space="preserve">Кросс-модуль (шина на DIN-рейку в корпусе)</w:t>
      </w:r>
    </w:p>
    <w:p>
      <w:pPr>
        <w:pStyle w:val="Compact"/>
        <w:numPr>
          <w:ilvl w:val="0"/>
          <w:numId w:val="1004"/>
        </w:numPr>
      </w:pPr>
      <w:r>
        <w:t xml:space="preserve">Дифференциальный автомат (АВДТ) для защиты от перегрузок</w:t>
      </w:r>
    </w:p>
    <w:p>
      <w:pPr>
        <w:pStyle w:val="Compact"/>
        <w:numPr>
          <w:ilvl w:val="0"/>
          <w:numId w:val="1004"/>
        </w:numPr>
      </w:pPr>
      <w:r>
        <w:t xml:space="preserve">Стабилизатор напряжения (опционально)</w:t>
      </w:r>
    </w:p>
    <w:p>
      <w:pPr>
        <w:pStyle w:val="Compact"/>
        <w:numPr>
          <w:ilvl w:val="0"/>
          <w:numId w:val="1004"/>
        </w:numPr>
      </w:pPr>
      <w:r>
        <w:t xml:space="preserve">Проходные клеммы для подключения внешнего оборудования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требования-безопасности"/>
    <w:p>
      <w:pPr>
        <w:pStyle w:val="Heading2"/>
      </w:pPr>
      <w:r>
        <w:t xml:space="preserve">2. Требования безопасности</w:t>
      </w:r>
    </w:p>
    <w:bookmarkStart w:id="24" w:name="класс-защиты"/>
    <w:p>
      <w:pPr>
        <w:pStyle w:val="Heading3"/>
      </w:pPr>
      <w:r>
        <w:t xml:space="preserve">2.1 Класс защиты</w:t>
      </w:r>
    </w:p>
    <w:p>
      <w:pPr>
        <w:pStyle w:val="FirstParagraph"/>
      </w:pPr>
      <w:r>
        <w:t xml:space="preserve">По типу защиты от поражения электрическим током терминал относится к классу</w:t>
      </w:r>
      <w:r>
        <w:t xml:space="preserve"> </w:t>
      </w:r>
      <w:r>
        <w:rPr>
          <w:b/>
          <w:bCs/>
        </w:rPr>
        <w:t xml:space="preserve">IP32</w:t>
      </w:r>
      <w:r>
        <w:t xml:space="preserve"> </w:t>
      </w:r>
      <w:r>
        <w:t xml:space="preserve">по ГОСТ 14254-96.</w:t>
      </w:r>
    </w:p>
    <w:bookmarkEnd w:id="24"/>
    <w:bookmarkStart w:id="25" w:name="общие-требования"/>
    <w:p>
      <w:pPr>
        <w:pStyle w:val="Heading3"/>
      </w:pPr>
      <w:r>
        <w:t xml:space="preserve">2.2 Общие требования</w:t>
      </w:r>
    </w:p>
    <w:p>
      <w:pPr>
        <w:pStyle w:val="FirstParagraph"/>
      </w:pPr>
      <w:r>
        <w:t xml:space="preserve">К работе с терминалом допускается персонал, прошедший инструктаж и обучение правилам эксплуатации электроустановок с напряжением до 1000 В.</w:t>
      </w:r>
    </w:p>
    <w:p>
      <w:pPr>
        <w:pStyle w:val="BodyText"/>
      </w:pPr>
      <w:r>
        <w:t xml:space="preserve">Перед подключением к электрической сети необходимо:</w:t>
      </w:r>
      <w:r>
        <w:t xml:space="preserve"> </w:t>
      </w:r>
      <w:r>
        <w:t xml:space="preserve">- Визуально проверить отсутствие повреждений кабеля питания</w:t>
      </w:r>
      <w:r>
        <w:t xml:space="preserve"> </w:t>
      </w:r>
      <w:r>
        <w:t xml:space="preserve">- Убедиться, что кабель не перегибается и не пережат</w:t>
      </w:r>
      <w:r>
        <w:t xml:space="preserve"> </w:t>
      </w:r>
      <w:r>
        <w:t xml:space="preserve">- Проверить наличие заземления в розетке</w:t>
      </w:r>
    </w:p>
    <w:bookmarkEnd w:id="25"/>
    <w:bookmarkStart w:id="26" w:name="запрещается"/>
    <w:p>
      <w:pPr>
        <w:pStyle w:val="Heading3"/>
      </w:pPr>
      <w:r>
        <w:t xml:space="preserve">2.3 ЗАПРЕЩАЕТСЯ</w:t>
      </w:r>
    </w:p>
    <w:p>
      <w:pPr>
        <w:pStyle w:val="FirstParagraph"/>
      </w:pPr>
      <w:r>
        <w:rPr>
          <w:b/>
          <w:bCs/>
        </w:rPr>
        <w:t xml:space="preserve">Во избежание несчастных случаев категорически ЗАПРЕЩАЕТСЯ:</w:t>
      </w:r>
    </w:p>
    <w:p>
      <w:pPr>
        <w:pStyle w:val="Compact"/>
        <w:numPr>
          <w:ilvl w:val="0"/>
          <w:numId w:val="1005"/>
        </w:numPr>
      </w:pPr>
      <w:r>
        <w:t xml:space="preserve">Производить монтаж или демонтаж терминала при включённом питании</w:t>
      </w:r>
    </w:p>
    <w:p>
      <w:pPr>
        <w:pStyle w:val="Compact"/>
        <w:numPr>
          <w:ilvl w:val="0"/>
          <w:numId w:val="1005"/>
        </w:numPr>
      </w:pPr>
      <w:r>
        <w:t xml:space="preserve">Производить любые работы при открытых дверцах корпуса с включённым питанием</w:t>
      </w:r>
    </w:p>
    <w:p>
      <w:pPr>
        <w:pStyle w:val="Compact"/>
        <w:numPr>
          <w:ilvl w:val="0"/>
          <w:numId w:val="1005"/>
        </w:numPr>
      </w:pPr>
      <w:r>
        <w:t xml:space="preserve">Эксплуатировать терминал при повреждении стекла монитора или корпуса</w:t>
      </w:r>
    </w:p>
    <w:p>
      <w:pPr>
        <w:pStyle w:val="Compact"/>
        <w:numPr>
          <w:ilvl w:val="0"/>
          <w:numId w:val="1005"/>
        </w:numPr>
      </w:pPr>
      <w:r>
        <w:t xml:space="preserve">Эксплуатировать терминал с неисправным замком корпуса</w:t>
      </w:r>
    </w:p>
    <w:p>
      <w:pPr>
        <w:pStyle w:val="FirstParagraph"/>
      </w:pPr>
      <w:r>
        <w:rPr>
          <w:b/>
          <w:bCs/>
        </w:rPr>
        <w:t xml:space="preserve">Для обеспечения электрической и пожарной безопасности ЗАПРЕЩАЕТСЯ:</w:t>
      </w:r>
    </w:p>
    <w:p>
      <w:pPr>
        <w:pStyle w:val="Compact"/>
        <w:numPr>
          <w:ilvl w:val="0"/>
          <w:numId w:val="1006"/>
        </w:numPr>
      </w:pPr>
      <w:r>
        <w:t xml:space="preserve">Подключать терминал к сети без защиты от токовых перегрузок</w:t>
      </w:r>
    </w:p>
    <w:p>
      <w:pPr>
        <w:pStyle w:val="Compact"/>
        <w:numPr>
          <w:ilvl w:val="0"/>
          <w:numId w:val="1006"/>
        </w:numPr>
      </w:pPr>
      <w:r>
        <w:t xml:space="preserve">Использовать розетку без заземляющего контакта</w:t>
      </w:r>
    </w:p>
    <w:p>
      <w:pPr>
        <w:pStyle w:val="Compact"/>
        <w:numPr>
          <w:ilvl w:val="0"/>
          <w:numId w:val="1006"/>
        </w:numPr>
      </w:pPr>
      <w:r>
        <w:t xml:space="preserve">Использовать переходники, удлинители и многоместные розетки</w:t>
      </w:r>
    </w:p>
    <w:p>
      <w:pPr>
        <w:pStyle w:val="Compact"/>
        <w:numPr>
          <w:ilvl w:val="0"/>
          <w:numId w:val="1006"/>
        </w:numPr>
      </w:pPr>
      <w:r>
        <w:t xml:space="preserve">Вставлять и вынимать вилку мокрыми руками</w:t>
      </w:r>
    </w:p>
    <w:p>
      <w:pPr>
        <w:pStyle w:val="Compact"/>
        <w:numPr>
          <w:ilvl w:val="0"/>
          <w:numId w:val="1006"/>
        </w:numPr>
      </w:pPr>
      <w:r>
        <w:t xml:space="preserve">Мыть терминал под струёй воды</w:t>
      </w:r>
    </w:p>
    <w:p>
      <w:pPr>
        <w:pStyle w:val="Compact"/>
        <w:numPr>
          <w:ilvl w:val="0"/>
          <w:numId w:val="1006"/>
        </w:numPr>
      </w:pPr>
      <w:r>
        <w:t xml:space="preserve">Отключать от сети, вытягивая за кабель питания</w:t>
      </w:r>
    </w:p>
    <w:p>
      <w:pPr>
        <w:pStyle w:val="Compact"/>
        <w:numPr>
          <w:ilvl w:val="0"/>
          <w:numId w:val="1006"/>
        </w:numPr>
      </w:pPr>
      <w:r>
        <w:t xml:space="preserve">Самостоятельно ремонтировать или вносить изменения в конструкцию</w:t>
      </w:r>
    </w:p>
    <w:bookmarkEnd w:id="26"/>
    <w:bookmarkStart w:id="27" w:name="действия-при-неисправности"/>
    <w:p>
      <w:pPr>
        <w:pStyle w:val="Heading3"/>
      </w:pPr>
      <w:r>
        <w:t xml:space="preserve">2.4 Действия при неисправности</w:t>
      </w:r>
    </w:p>
    <w:p>
      <w:pPr>
        <w:pStyle w:val="FirstParagraph"/>
      </w:pPr>
      <w:r>
        <w:t xml:space="preserve">При возникновении неисправности (электрический треск, задымление, искрение):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Немедленно</w:t>
      </w:r>
      <w:r>
        <w:t xml:space="preserve"> </w:t>
      </w:r>
      <w:r>
        <w:t xml:space="preserve">отключить терминал от электросети</w:t>
      </w:r>
    </w:p>
    <w:p>
      <w:pPr>
        <w:pStyle w:val="Compact"/>
        <w:numPr>
          <w:ilvl w:val="0"/>
          <w:numId w:val="1007"/>
        </w:numPr>
      </w:pPr>
      <w:r>
        <w:t xml:space="preserve">Вынуть вилку кабеля питания из розетки</w:t>
      </w:r>
    </w:p>
    <w:p>
      <w:pPr>
        <w:pStyle w:val="Compact"/>
        <w:numPr>
          <w:ilvl w:val="0"/>
          <w:numId w:val="1007"/>
        </w:numPr>
      </w:pPr>
      <w:r>
        <w:t xml:space="preserve">Вызвать сервисную службу</w:t>
      </w:r>
    </w:p>
    <w:p>
      <w:pPr>
        <w:pStyle w:val="Compact"/>
        <w:numPr>
          <w:ilvl w:val="0"/>
          <w:numId w:val="1007"/>
        </w:numPr>
      </w:pPr>
      <w:r>
        <w:t xml:space="preserve">Не пытаться устранить неисправность самостоятельно</w:t>
      </w:r>
    </w:p>
    <w:bookmarkEnd w:id="27"/>
    <w:bookmarkStart w:id="28" w:name="действия-при-пожаре"/>
    <w:p>
      <w:pPr>
        <w:pStyle w:val="Heading3"/>
      </w:pPr>
      <w:r>
        <w:t xml:space="preserve">2.5 Действия при пожаре</w:t>
      </w:r>
    </w:p>
    <w:p>
      <w:pPr>
        <w:pStyle w:val="Compact"/>
        <w:numPr>
          <w:ilvl w:val="0"/>
          <w:numId w:val="1008"/>
        </w:numPr>
      </w:pPr>
      <w:r>
        <w:t xml:space="preserve">Отключить электропитание общим рубильником или вынуть вилку из розетки</w:t>
      </w:r>
    </w:p>
    <w:p>
      <w:pPr>
        <w:pStyle w:val="Compact"/>
        <w:numPr>
          <w:ilvl w:val="0"/>
          <w:numId w:val="1008"/>
        </w:numPr>
      </w:pPr>
      <w:r>
        <w:t xml:space="preserve">Использовать</w:t>
      </w:r>
      <w:r>
        <w:t xml:space="preserve"> </w:t>
      </w:r>
      <w:r>
        <w:rPr>
          <w:b/>
          <w:bCs/>
        </w:rPr>
        <w:t xml:space="preserve">углекислотный огнетушитель</w:t>
      </w:r>
      <w:r>
        <w:t xml:space="preserve"> </w:t>
      </w:r>
      <w:r>
        <w:t xml:space="preserve">типа ОУ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применять химические пенные (ОХП) и порошковые (ОП) огнетушители</w:t>
      </w:r>
    </w:p>
    <w:p>
      <w:pPr>
        <w:pStyle w:val="Compact"/>
        <w:numPr>
          <w:ilvl w:val="0"/>
          <w:numId w:val="1008"/>
        </w:numPr>
      </w:pPr>
      <w:r>
        <w:t xml:space="preserve">Вызвать пожарную службу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подготовка-к-работе"/>
    <w:p>
      <w:pPr>
        <w:pStyle w:val="Heading2"/>
      </w:pPr>
      <w:r>
        <w:t xml:space="preserve">3. Подготовка к работе</w:t>
      </w:r>
    </w:p>
    <w:bookmarkStart w:id="30" w:name="распаковка-и-установка"/>
    <w:p>
      <w:pPr>
        <w:pStyle w:val="Heading3"/>
      </w:pPr>
      <w:r>
        <w:t xml:space="preserve">3.1 Распаковка и установка</w:t>
      </w:r>
    </w:p>
    <w:p>
      <w:pPr>
        <w:pStyle w:val="Compact"/>
        <w:numPr>
          <w:ilvl w:val="0"/>
          <w:numId w:val="1009"/>
        </w:numPr>
      </w:pPr>
      <w:r>
        <w:t xml:space="preserve">Освободить терминал от упаковочных материалов (плёнка, картон, пенопласт)</w:t>
      </w:r>
    </w:p>
    <w:p>
      <w:pPr>
        <w:pStyle w:val="Compact"/>
        <w:numPr>
          <w:ilvl w:val="0"/>
          <w:numId w:val="1009"/>
        </w:numPr>
      </w:pPr>
      <w:r>
        <w:t xml:space="preserve">Осмотреть на предмет повреждений при транспортировке</w:t>
      </w:r>
    </w:p>
    <w:p>
      <w:pPr>
        <w:pStyle w:val="Compact"/>
        <w:numPr>
          <w:ilvl w:val="0"/>
          <w:numId w:val="1009"/>
        </w:numPr>
      </w:pPr>
      <w:r>
        <w:t xml:space="preserve">Установить на ровную твёрдую поверхность</w:t>
      </w:r>
    </w:p>
    <w:p>
      <w:pPr>
        <w:pStyle w:val="Compact"/>
        <w:numPr>
          <w:ilvl w:val="0"/>
          <w:numId w:val="1009"/>
        </w:numPr>
      </w:pPr>
      <w:r>
        <w:t xml:space="preserve">Закрепить терминал через технологические отверстия в основании (анкерные болты)</w:t>
      </w:r>
    </w:p>
    <w:p>
      <w:pPr>
        <w:pStyle w:val="BlockText"/>
      </w:pPr>
      <w:r>
        <w:rPr>
          <w:b/>
          <w:bCs/>
        </w:rPr>
        <w:t xml:space="preserve">ВНИМАНИЕ!</w:t>
      </w:r>
      <w:r>
        <w:t xml:space="preserve"> </w:t>
      </w:r>
      <w:r>
        <w:t xml:space="preserve">Не перемещайте терминал, взявшись за дверцу — это может повредить петли и замок.</w:t>
      </w:r>
    </w:p>
    <w:bookmarkEnd w:id="30"/>
    <w:bookmarkStart w:id="31" w:name="требования-к-месту-установки"/>
    <w:p>
      <w:pPr>
        <w:pStyle w:val="Heading3"/>
      </w:pPr>
      <w:r>
        <w:t xml:space="preserve">3.2 Требования к месту установки</w:t>
      </w:r>
    </w:p>
    <w:p>
      <w:pPr>
        <w:pStyle w:val="Compact"/>
        <w:numPr>
          <w:ilvl w:val="0"/>
          <w:numId w:val="1010"/>
        </w:numPr>
      </w:pPr>
      <w:r>
        <w:t xml:space="preserve">Ровная твёрдая поверхность (бетон, асфальт, плитка)</w:t>
      </w:r>
    </w:p>
    <w:p>
      <w:pPr>
        <w:pStyle w:val="Compact"/>
        <w:numPr>
          <w:ilvl w:val="0"/>
          <w:numId w:val="1010"/>
        </w:numPr>
      </w:pPr>
      <w:r>
        <w:t xml:space="preserve">Расстояние от стен — не менее 10 см для вентиляции</w:t>
      </w:r>
    </w:p>
    <w:p>
      <w:pPr>
        <w:pStyle w:val="Compact"/>
        <w:numPr>
          <w:ilvl w:val="0"/>
          <w:numId w:val="1010"/>
        </w:numPr>
      </w:pPr>
      <w:r>
        <w:t xml:space="preserve">Защита от прямого попадания воды (навес)</w:t>
      </w:r>
    </w:p>
    <w:p>
      <w:pPr>
        <w:pStyle w:val="Compact"/>
        <w:numPr>
          <w:ilvl w:val="0"/>
          <w:numId w:val="1010"/>
        </w:numPr>
      </w:pPr>
      <w:r>
        <w:t xml:space="preserve">Освещение для работы в тёмное время суток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Вне взрывоопасных зон</w:t>
      </w:r>
    </w:p>
    <w:bookmarkEnd w:id="31"/>
    <w:bookmarkStart w:id="32" w:name="подключение-к-электросети"/>
    <w:p>
      <w:pPr>
        <w:pStyle w:val="Heading3"/>
      </w:pPr>
      <w:r>
        <w:t xml:space="preserve">3.3 Подключение к электросети</w:t>
      </w:r>
    </w:p>
    <w:p>
      <w:pPr>
        <w:pStyle w:val="FirstParagraph"/>
      </w:pPr>
      <w:r>
        <w:rPr>
          <w:b/>
          <w:bCs/>
        </w:rPr>
        <w:t xml:space="preserve">Требования к электросети: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Розетка</w:t>
            </w:r>
          </w:p>
        </w:tc>
        <w:tc>
          <w:tcPr/>
          <w:p>
            <w:pPr>
              <w:pStyle w:val="Compact"/>
            </w:pPr>
            <w:r>
              <w:t xml:space="preserve">Двухполюсная с заземляющим контактом, ток не менее 10 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Кабель</w:t>
            </w:r>
          </w:p>
        </w:tc>
        <w:tc>
          <w:tcPr/>
          <w:p>
            <w:pPr>
              <w:pStyle w:val="Compact"/>
            </w:pPr>
            <w:r>
              <w:t xml:space="preserve">Трёхпроводный, медные жилы сечением не менее 1,5 мм²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выключатель на 10 А, время срабатывания не более 0,1 с</w:t>
            </w:r>
          </w:p>
        </w:tc>
      </w:tr>
    </w:tbl>
    <w:p>
      <w:pPr>
        <w:pStyle w:val="BlockText"/>
      </w:pPr>
      <w:r>
        <w:rPr>
          <w:b/>
          <w:bCs/>
        </w:rPr>
        <w:t xml:space="preserve">ЗАПРЕЩАЕТСЯ</w:t>
      </w:r>
      <w:r>
        <w:t xml:space="preserve"> </w:t>
      </w:r>
      <w:r>
        <w:t xml:space="preserve">заземление прокладывать отдельным проводом, а также через отопительное, водопроводное или канализационное оборудование.</w:t>
      </w:r>
    </w:p>
    <w:bookmarkEnd w:id="32"/>
    <w:bookmarkStart w:id="33" w:name="первое-включение"/>
    <w:p>
      <w:pPr>
        <w:pStyle w:val="Heading3"/>
      </w:pPr>
      <w:r>
        <w:t xml:space="preserve">3.4 Первое включение</w:t>
      </w:r>
    </w:p>
    <w:p>
      <w:pPr>
        <w:pStyle w:val="Compact"/>
        <w:numPr>
          <w:ilvl w:val="0"/>
          <w:numId w:val="1011"/>
        </w:numPr>
      </w:pPr>
      <w:r>
        <w:t xml:space="preserve">Убедиться в правильности подключения к электросети</w:t>
      </w:r>
    </w:p>
    <w:p>
      <w:pPr>
        <w:pStyle w:val="Compact"/>
        <w:numPr>
          <w:ilvl w:val="0"/>
          <w:numId w:val="1011"/>
        </w:numPr>
      </w:pPr>
      <w:r>
        <w:t xml:space="preserve">Включить стабилизатор напряжения (при наличии)</w:t>
      </w:r>
    </w:p>
    <w:p>
      <w:pPr>
        <w:pStyle w:val="Compact"/>
        <w:numPr>
          <w:ilvl w:val="0"/>
          <w:numId w:val="1011"/>
        </w:numPr>
      </w:pPr>
      <w:r>
        <w:t xml:space="preserve">Дождаться перехода стабилизатора в рабочий режим (обратный отсчёт на индикаторе)</w:t>
      </w:r>
    </w:p>
    <w:p>
      <w:pPr>
        <w:pStyle w:val="Compact"/>
        <w:numPr>
          <w:ilvl w:val="0"/>
          <w:numId w:val="1011"/>
        </w:numPr>
      </w:pPr>
      <w:r>
        <w:t xml:space="preserve">Включить ИБП (удерживать кнопку не менее 2 секунд)</w:t>
      </w:r>
    </w:p>
    <w:p>
      <w:pPr>
        <w:pStyle w:val="Compact"/>
        <w:numPr>
          <w:ilvl w:val="0"/>
          <w:numId w:val="1011"/>
        </w:numPr>
      </w:pPr>
      <w:r>
        <w:t xml:space="preserve">Дождаться загрузки операционной системы (не более 2 минут)</w:t>
      </w:r>
    </w:p>
    <w:p>
      <w:pPr>
        <w:pStyle w:val="Compact"/>
        <w:numPr>
          <w:ilvl w:val="0"/>
          <w:numId w:val="1011"/>
        </w:numPr>
      </w:pPr>
      <w:r>
        <w:t xml:space="preserve">Терминал готов к работе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инструкция-по-эксплуатации"/>
    <w:p>
      <w:pPr>
        <w:pStyle w:val="Heading2"/>
      </w:pPr>
      <w:r>
        <w:t xml:space="preserve">4. Инструкция по эксплуатации</w:t>
      </w:r>
    </w:p>
    <w:bookmarkStart w:id="35" w:name="вход-в-сервисное-меню"/>
    <w:p>
      <w:pPr>
        <w:pStyle w:val="Heading3"/>
      </w:pPr>
      <w:r>
        <w:t xml:space="preserve">4.1 Вход в сервисное меню</w:t>
      </w:r>
    </w:p>
    <w:p>
      <w:pPr>
        <w:pStyle w:val="FirstParagraph"/>
      </w:pPr>
      <w:r>
        <w:t xml:space="preserve">Для доступа в сервисное меню нажмите последовательно на углы экрана: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1️⃣                            3️⃣   │</w:t>
      </w:r>
      <w:r>
        <w:br/>
      </w:r>
      <w:r>
        <w:rPr>
          <w:rStyle w:val="VerbatimChar"/>
        </w:rPr>
        <w:t xml:space="preserve">│  Верхний левый         Верхний      │</w:t>
      </w:r>
      <w:r>
        <w:br/>
      </w:r>
      <w:r>
        <w:rPr>
          <w:rStyle w:val="VerbatimChar"/>
        </w:rPr>
        <w:t xml:space="preserve">│                        правый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4️⃣                            2️⃣   │</w:t>
      </w:r>
      <w:r>
        <w:br/>
      </w:r>
      <w:r>
        <w:rPr>
          <w:rStyle w:val="VerbatimChar"/>
        </w:rPr>
        <w:t xml:space="preserve">│  Нижний левый          Нижний       │</w:t>
      </w:r>
      <w:r>
        <w:br/>
      </w:r>
      <w:r>
        <w:rPr>
          <w:rStyle w:val="VerbatimChar"/>
        </w:rPr>
        <w:t xml:space="preserve">│                        правый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Порядок нажатия: 1 → 2 → 3 → 4</w:t>
      </w:r>
    </w:p>
    <w:p>
      <w:pPr>
        <w:pStyle w:val="FirstParagraph"/>
      </w:pPr>
      <w:r>
        <w:rPr>
          <w:b/>
          <w:bCs/>
        </w:rPr>
        <w:t xml:space="preserve">Пароль по умолчанию:</w:t>
      </w:r>
      <w:r>
        <w:t xml:space="preserve"> </w:t>
      </w:r>
      <w:r>
        <w:t xml:space="preserve">1234</w:t>
      </w:r>
    </w:p>
    <w:p>
      <w:pPr>
        <w:pStyle w:val="BlockText"/>
      </w:pPr>
      <w:r>
        <w:rPr>
          <w:b/>
          <w:bCs/>
        </w:rPr>
        <w:t xml:space="preserve">ВНИМАНИЕ!</w:t>
      </w:r>
      <w:r>
        <w:t xml:space="preserve"> </w:t>
      </w:r>
      <w:r>
        <w:t xml:space="preserve">После первичной настройки обязательно смените пароль для предотвращения несанкционированного доступа.</w:t>
      </w:r>
    </w:p>
    <w:bookmarkEnd w:id="35"/>
    <w:bookmarkStart w:id="36" w:name="основные-операции-в-сервисном-меню"/>
    <w:p>
      <w:pPr>
        <w:pStyle w:val="Heading3"/>
      </w:pPr>
      <w:r>
        <w:t xml:space="preserve">4.2 Основные операции в сервисном меню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Операции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Смена</w:t>
            </w:r>
          </w:p>
        </w:tc>
        <w:tc>
          <w:tcPr/>
          <w:p>
            <w:pPr>
              <w:pStyle w:val="Compact"/>
            </w:pPr>
            <w:r>
              <w:t xml:space="preserve">Открытие/закрытие смены, печать отчётов, инкассация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Касса</w:t>
            </w:r>
          </w:p>
        </w:tc>
        <w:tc>
          <w:tcPr/>
          <w:p>
            <w:pPr>
              <w:pStyle w:val="Compact"/>
            </w:pPr>
            <w:r>
              <w:t xml:space="preserve">X-отчёт, Z-отчёт, открытие кассовой смены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Приёмка</w:t>
            </w:r>
          </w:p>
        </w:tc>
        <w:tc>
          <w:tcPr/>
          <w:p>
            <w:pPr>
              <w:pStyle w:val="Compact"/>
            </w:pPr>
            <w:r>
              <w:t xml:space="preserve">Приёмка топлива в резервуары, ввод ТТН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Сверка итогов банковского терминала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Диагностика</w:t>
            </w:r>
          </w:p>
        </w:tc>
        <w:tc>
          <w:tcPr/>
          <w:p>
            <w:pPr>
              <w:pStyle w:val="Compact"/>
            </w:pPr>
            <w:r>
              <w:t xml:space="preserve">Проверка связи, статусы устройств, журнал ошибок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Выключение</w:t>
            </w:r>
          </w:p>
        </w:tc>
        <w:tc>
          <w:tcPr/>
          <w:p>
            <w:pPr>
              <w:pStyle w:val="Compact"/>
            </w:pPr>
            <w:r>
              <w:t xml:space="preserve">Выключение и перезагрузка терминала</w:t>
            </w:r>
          </w:p>
        </w:tc>
      </w:tr>
    </w:tbl>
    <w:bookmarkEnd w:id="36"/>
    <w:bookmarkStart w:id="37" w:name="инкассация-купюроприёмника"/>
    <w:p>
      <w:pPr>
        <w:pStyle w:val="Heading3"/>
      </w:pPr>
      <w:r>
        <w:t xml:space="preserve">4.3 Инкассация купюроприёмника</w:t>
      </w:r>
    </w:p>
    <w:p>
      <w:pPr>
        <w:pStyle w:val="Compact"/>
        <w:numPr>
          <w:ilvl w:val="0"/>
          <w:numId w:val="1012"/>
        </w:numPr>
      </w:pPr>
      <w:r>
        <w:t xml:space="preserve">Войти в сервисное меню</w:t>
      </w:r>
    </w:p>
    <w:p>
      <w:pPr>
        <w:pStyle w:val="Compact"/>
        <w:numPr>
          <w:ilvl w:val="0"/>
          <w:numId w:val="1012"/>
        </w:numPr>
      </w:pPr>
      <w:r>
        <w:t xml:space="preserve">Выбрать раздел «Смена» → «Инкассация»</w:t>
      </w:r>
    </w:p>
    <w:p>
      <w:pPr>
        <w:pStyle w:val="Compact"/>
        <w:numPr>
          <w:ilvl w:val="0"/>
          <w:numId w:val="1012"/>
        </w:numPr>
      </w:pPr>
      <w:r>
        <w:t xml:space="preserve">Открыть отсек купюроприёмника ключом</w:t>
      </w:r>
    </w:p>
    <w:p>
      <w:pPr>
        <w:pStyle w:val="Compact"/>
        <w:numPr>
          <w:ilvl w:val="0"/>
          <w:numId w:val="1012"/>
        </w:numPr>
      </w:pPr>
      <w:r>
        <w:t xml:space="preserve">Извлечь кассету с купюрами</w:t>
      </w:r>
    </w:p>
    <w:p>
      <w:pPr>
        <w:pStyle w:val="Compact"/>
        <w:numPr>
          <w:ilvl w:val="0"/>
          <w:numId w:val="1012"/>
        </w:numPr>
      </w:pPr>
      <w:r>
        <w:t xml:space="preserve">Установить пустую кассету</w:t>
      </w:r>
    </w:p>
    <w:p>
      <w:pPr>
        <w:pStyle w:val="Compact"/>
        <w:numPr>
          <w:ilvl w:val="0"/>
          <w:numId w:val="1012"/>
        </w:numPr>
      </w:pPr>
      <w:r>
        <w:t xml:space="preserve">Закрыть отсек</w:t>
      </w:r>
    </w:p>
    <w:p>
      <w:pPr>
        <w:pStyle w:val="Compact"/>
        <w:numPr>
          <w:ilvl w:val="0"/>
          <w:numId w:val="1012"/>
        </w:numPr>
      </w:pPr>
      <w:r>
        <w:t xml:space="preserve">Подтвердить инкассацию в меню</w:t>
      </w:r>
    </w:p>
    <w:bookmarkEnd w:id="37"/>
    <w:bookmarkStart w:id="38" w:name="замена-чековой-ленты"/>
    <w:p>
      <w:pPr>
        <w:pStyle w:val="Heading3"/>
      </w:pPr>
      <w:r>
        <w:t xml:space="preserve">4.4 Замена чековой ленты</w:t>
      </w:r>
    </w:p>
    <w:p>
      <w:pPr>
        <w:pStyle w:val="Compact"/>
        <w:numPr>
          <w:ilvl w:val="0"/>
          <w:numId w:val="1013"/>
        </w:numPr>
      </w:pPr>
      <w:r>
        <w:t xml:space="preserve">Открыть отсек принтера ключом</w:t>
      </w:r>
    </w:p>
    <w:p>
      <w:pPr>
        <w:pStyle w:val="Compact"/>
        <w:numPr>
          <w:ilvl w:val="0"/>
          <w:numId w:val="1013"/>
        </w:numPr>
      </w:pPr>
      <w:r>
        <w:t xml:space="preserve">Извлечь остаток старого рулона</w:t>
      </w:r>
    </w:p>
    <w:p>
      <w:pPr>
        <w:pStyle w:val="Compact"/>
        <w:numPr>
          <w:ilvl w:val="0"/>
          <w:numId w:val="1013"/>
        </w:numPr>
      </w:pPr>
      <w:r>
        <w:t xml:space="preserve">Установить новый рулон (максимум 180 мм в диаметре)</w:t>
      </w:r>
    </w:p>
    <w:p>
      <w:pPr>
        <w:pStyle w:val="Compact"/>
        <w:numPr>
          <w:ilvl w:val="0"/>
          <w:numId w:val="1013"/>
        </w:numPr>
      </w:pPr>
      <w:r>
        <w:t xml:space="preserve">Заправить ленту в принтер согласно направляющим</w:t>
      </w:r>
    </w:p>
    <w:p>
      <w:pPr>
        <w:pStyle w:val="Compact"/>
        <w:numPr>
          <w:ilvl w:val="0"/>
          <w:numId w:val="1013"/>
        </w:numPr>
      </w:pPr>
      <w:r>
        <w:t xml:space="preserve">Закрыть отсек</w:t>
      </w:r>
    </w:p>
    <w:p>
      <w:pPr>
        <w:pStyle w:val="Compact"/>
        <w:numPr>
          <w:ilvl w:val="0"/>
          <w:numId w:val="1013"/>
        </w:numPr>
      </w:pPr>
      <w:r>
        <w:t xml:space="preserve">Выполнить тестовую печать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техническое-обслуживание"/>
    <w:p>
      <w:pPr>
        <w:pStyle w:val="Heading2"/>
      </w:pPr>
      <w:r>
        <w:t xml:space="preserve">5. Техническое обслуживание</w:t>
      </w:r>
    </w:p>
    <w:bookmarkStart w:id="40" w:name="периодичность-то"/>
    <w:p>
      <w:pPr>
        <w:pStyle w:val="Heading3"/>
      </w:pPr>
      <w:r>
        <w:t xml:space="preserve">5.1 Периодичность ТО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Чистка сенсорного экрана</w:t>
            </w:r>
          </w:p>
        </w:tc>
        <w:tc>
          <w:tcPr/>
          <w:p>
            <w:pPr>
              <w:pStyle w:val="Compact"/>
            </w:pPr>
            <w:r>
              <w:t xml:space="preserve">Еженедельно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купюроприёмника</w:t>
            </w:r>
          </w:p>
        </w:tc>
        <w:tc>
          <w:tcPr/>
          <w:p>
            <w:pPr>
              <w:pStyle w:val="Compact"/>
            </w:pPr>
            <w:r>
              <w:t xml:space="preserve">При каждой инкассации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Замена чековой ленты</w:t>
            </w:r>
          </w:p>
        </w:tc>
        <w:tc>
          <w:tcPr/>
          <w:p>
            <w:pPr>
              <w:pStyle w:val="Compact"/>
            </w:pPr>
            <w:r>
              <w:t xml:space="preserve">По мере расхода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ФН (фискального накопителя)</w:t>
            </w:r>
          </w:p>
        </w:tc>
        <w:tc>
          <w:tcPr/>
          <w:p>
            <w:pPr>
              <w:pStyle w:val="Compact"/>
            </w:pPr>
            <w:r>
              <w:t xml:space="preserve">Ежемесячно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Чистка системы вентиляции</w:t>
            </w:r>
          </w:p>
        </w:tc>
        <w:tc>
          <w:tcPr/>
          <w:p>
            <w:pPr>
              <w:pStyle w:val="Compact"/>
            </w:pPr>
            <w:r>
              <w:t xml:space="preserve">Ежеквартально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Полное ТО</w:t>
            </w:r>
          </w:p>
        </w:tc>
        <w:tc>
          <w:tcPr/>
          <w:p>
            <w:pPr>
              <w:pStyle w:val="Compact"/>
            </w:pPr>
            <w:r>
              <w:t xml:space="preserve">Раз в 6 месяцев</w:t>
            </w:r>
          </w:p>
        </w:tc>
      </w:tr>
    </w:tbl>
    <w:bookmarkEnd w:id="40"/>
    <w:bookmarkStart w:id="41" w:name="чистка-сенсорного-экрана"/>
    <w:p>
      <w:pPr>
        <w:pStyle w:val="Heading3"/>
      </w:pPr>
      <w:r>
        <w:t xml:space="preserve">5.2 Чистка сенсорного экрана</w:t>
      </w:r>
    </w:p>
    <w:p>
      <w:pPr>
        <w:pStyle w:val="Compact"/>
        <w:numPr>
          <w:ilvl w:val="0"/>
          <w:numId w:val="1014"/>
        </w:numPr>
      </w:pPr>
      <w:r>
        <w:t xml:space="preserve">Использовать мягкую ветошь или микрофибру</w:t>
      </w:r>
    </w:p>
    <w:p>
      <w:pPr>
        <w:pStyle w:val="Compact"/>
        <w:numPr>
          <w:ilvl w:val="0"/>
          <w:numId w:val="1014"/>
        </w:numPr>
      </w:pPr>
      <w:r>
        <w:t xml:space="preserve">Применять жидкость для чистки стёкол (без ацетона)</w:t>
      </w:r>
    </w:p>
    <w:p>
      <w:pPr>
        <w:pStyle w:val="Compact"/>
        <w:numPr>
          <w:ilvl w:val="0"/>
          <w:numId w:val="1014"/>
        </w:numPr>
      </w:pPr>
      <w:r>
        <w:t xml:space="preserve">Протирать зону рефлекторов по периметру экрана</w:t>
      </w:r>
    </w:p>
    <w:p>
      <w:pPr>
        <w:pStyle w:val="Compact"/>
        <w:numPr>
          <w:ilvl w:val="0"/>
          <w:numId w:val="1014"/>
        </w:numPr>
      </w:pPr>
      <w:r>
        <w:t xml:space="preserve">Не использовать абразивные материалы</w:t>
      </w:r>
    </w:p>
    <w:bookmarkEnd w:id="41"/>
    <w:bookmarkStart w:id="42" w:name="обслуживание-системного-блока"/>
    <w:p>
      <w:pPr>
        <w:pStyle w:val="Heading3"/>
      </w:pPr>
      <w:r>
        <w:t xml:space="preserve">5.3 Обслуживание системного блока</w:t>
      </w:r>
    </w:p>
    <w:p>
      <w:pPr>
        <w:pStyle w:val="Compact"/>
        <w:numPr>
          <w:ilvl w:val="0"/>
          <w:numId w:val="1015"/>
        </w:numPr>
      </w:pPr>
      <w:r>
        <w:t xml:space="preserve">Удалять пыль сжатым воздухом</w:t>
      </w:r>
    </w:p>
    <w:p>
      <w:pPr>
        <w:pStyle w:val="Compact"/>
        <w:numPr>
          <w:ilvl w:val="0"/>
          <w:numId w:val="1015"/>
        </w:numPr>
      </w:pPr>
      <w:r>
        <w:t xml:space="preserve">Работы производить вне корпуса терминала</w:t>
      </w:r>
    </w:p>
    <w:p>
      <w:pPr>
        <w:pStyle w:val="Compact"/>
        <w:numPr>
          <w:ilvl w:val="0"/>
          <w:numId w:val="1015"/>
        </w:numPr>
      </w:pPr>
      <w:r>
        <w:t xml:space="preserve">Проверять надёжность соединений</w:t>
      </w:r>
    </w:p>
    <w:bookmarkEnd w:id="42"/>
    <w:bookmarkStart w:id="43" w:name="обслуживание-замков-и-петель"/>
    <w:p>
      <w:pPr>
        <w:pStyle w:val="Heading3"/>
      </w:pPr>
      <w:r>
        <w:t xml:space="preserve">5.4 Обслуживание замков и петель</w:t>
      </w:r>
    </w:p>
    <w:p>
      <w:pPr>
        <w:pStyle w:val="Compact"/>
        <w:numPr>
          <w:ilvl w:val="0"/>
          <w:numId w:val="1016"/>
        </w:numPr>
      </w:pPr>
      <w:r>
        <w:t xml:space="preserve">Периодическая смазка подвижных частей</w:t>
      </w:r>
    </w:p>
    <w:p>
      <w:pPr>
        <w:pStyle w:val="Compact"/>
        <w:numPr>
          <w:ilvl w:val="0"/>
          <w:numId w:val="1016"/>
        </w:numPr>
      </w:pPr>
      <w:r>
        <w:t xml:space="preserve">Проверка работы замков</w:t>
      </w:r>
    </w:p>
    <w:p>
      <w:pPr>
        <w:pStyle w:val="Compact"/>
        <w:numPr>
          <w:ilvl w:val="0"/>
          <w:numId w:val="1016"/>
        </w:numPr>
      </w:pPr>
      <w:r>
        <w:t xml:space="preserve">Проверка плотности прилегания дверец</w:t>
      </w:r>
    </w:p>
    <w:bookmarkEnd w:id="43"/>
    <w:bookmarkStart w:id="44" w:name="признаки-необходимости-внепланового-то"/>
    <w:p>
      <w:pPr>
        <w:pStyle w:val="Heading3"/>
      </w:pPr>
      <w:r>
        <w:t xml:space="preserve">5.5 Признаки необходимости внепланового ТО</w:t>
      </w:r>
    </w:p>
    <w:p>
      <w:pPr>
        <w:pStyle w:val="Compact"/>
        <w:numPr>
          <w:ilvl w:val="0"/>
          <w:numId w:val="1017"/>
        </w:numPr>
      </w:pPr>
      <w:r>
        <w:t xml:space="preserve">Плохое реагирование сенсора на касания</w:t>
      </w:r>
    </w:p>
    <w:p>
      <w:pPr>
        <w:pStyle w:val="Compact"/>
        <w:numPr>
          <w:ilvl w:val="0"/>
          <w:numId w:val="1017"/>
        </w:numPr>
      </w:pPr>
      <w:r>
        <w:t xml:space="preserve">Ошибки в работе устройств</w:t>
      </w:r>
    </w:p>
    <w:p>
      <w:pPr>
        <w:pStyle w:val="Compact"/>
        <w:numPr>
          <w:ilvl w:val="0"/>
          <w:numId w:val="1017"/>
        </w:numPr>
      </w:pPr>
      <w:r>
        <w:t xml:space="preserve">Замятие купюр или чековой ленты</w:t>
      </w:r>
    </w:p>
    <w:p>
      <w:pPr>
        <w:pStyle w:val="Compact"/>
        <w:numPr>
          <w:ilvl w:val="0"/>
          <w:numId w:val="1017"/>
        </w:numPr>
      </w:pPr>
      <w:r>
        <w:t xml:space="preserve">Признаки вандализма или попыток взлома</w:t>
      </w:r>
    </w:p>
    <w:p>
      <w:pPr>
        <w:pStyle w:val="Compact"/>
        <w:numPr>
          <w:ilvl w:val="0"/>
          <w:numId w:val="1017"/>
        </w:numPr>
      </w:pPr>
      <w:r>
        <w:t xml:space="preserve">Посторонние звуки при работе</w:t>
      </w:r>
    </w:p>
    <w:p>
      <w:pPr>
        <w:pStyle w:val="BlockText"/>
      </w:pPr>
      <w:r>
        <w:rPr>
          <w:b/>
          <w:bCs/>
        </w:rPr>
        <w:t xml:space="preserve">ВНИМАНИЕ!</w:t>
      </w:r>
      <w:r>
        <w:t xml:space="preserve"> </w:t>
      </w:r>
      <w:r>
        <w:t xml:space="preserve">Полноценное техническое обслуживание возможно только в условиях сервисного центра. Не пытайтесь ремонтировать терминал самостоятельно.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условия-хранения"/>
    <w:p>
      <w:pPr>
        <w:pStyle w:val="Heading2"/>
      </w:pPr>
      <w:r>
        <w:t xml:space="preserve">6. Условия хранения</w:t>
      </w:r>
    </w:p>
    <w:p>
      <w:pPr>
        <w:pStyle w:val="FirstParagraph"/>
      </w:pPr>
      <w:r>
        <w:t xml:space="preserve">Терминал должен храниться в складских помещениях: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Температура воздуха</w:t>
            </w:r>
          </w:p>
        </w:tc>
        <w:tc>
          <w:tcPr/>
          <w:p>
            <w:pPr>
              <w:pStyle w:val="Compact"/>
            </w:pPr>
            <w:r>
              <w:t xml:space="preserve">от +3°С до +25°С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Относительная влажность</w:t>
            </w:r>
          </w:p>
        </w:tc>
        <w:tc>
          <w:tcPr/>
          <w:p>
            <w:pPr>
              <w:pStyle w:val="Compact"/>
            </w:pPr>
            <w:r>
              <w:t xml:space="preserve">до 80% без резких изменений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Атмосфера</w:t>
            </w:r>
          </w:p>
        </w:tc>
        <w:tc>
          <w:tcPr/>
          <w:p>
            <w:pPr>
              <w:pStyle w:val="Compact"/>
            </w:pPr>
            <w:r>
              <w:t xml:space="preserve">Свободная от активных химических примесей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Расстояние от отопительных приборов</w:t>
            </w:r>
          </w:p>
        </w:tc>
        <w:tc>
          <w:tcPr/>
          <w:p>
            <w:pPr>
              <w:pStyle w:val="Compact"/>
            </w:pPr>
            <w:r>
              <w:t xml:space="preserve">Не менее 1 метра</w:t>
            </w:r>
          </w:p>
        </w:tc>
      </w:tr>
    </w:tbl>
    <w:p>
      <w:pPr>
        <w:pStyle w:val="BodyText"/>
      </w:pPr>
      <w:r>
        <w:t xml:space="preserve">Терминал должен храниться в заводской упаковке в вертикальном положении.</w:t>
      </w:r>
    </w:p>
    <w:p>
      <w:r>
        <w:pict>
          <v:rect style="width:0;height:1.5pt" o:hralign="center" o:hrstd="t" o:hr="t"/>
        </w:pict>
      </w:r>
    </w:p>
    <w:bookmarkEnd w:id="46"/>
    <w:bookmarkStart w:id="50" w:name="транспортировка"/>
    <w:p>
      <w:pPr>
        <w:pStyle w:val="Heading2"/>
      </w:pPr>
      <w:r>
        <w:t xml:space="preserve">7. Транспортировка</w:t>
      </w:r>
    </w:p>
    <w:bookmarkStart w:id="47" w:name="общие-требования-1"/>
    <w:p>
      <w:pPr>
        <w:pStyle w:val="Heading3"/>
      </w:pPr>
      <w:r>
        <w:t xml:space="preserve">7.1 Общие требования</w:t>
      </w:r>
    </w:p>
    <w:p>
      <w:pPr>
        <w:pStyle w:val="Compact"/>
        <w:numPr>
          <w:ilvl w:val="0"/>
          <w:numId w:val="1018"/>
        </w:numPr>
      </w:pPr>
      <w:r>
        <w:t xml:space="preserve">Транспортировка в закрытом транспорте любого вида</w:t>
      </w:r>
    </w:p>
    <w:p>
      <w:pPr>
        <w:pStyle w:val="Compact"/>
        <w:numPr>
          <w:ilvl w:val="0"/>
          <w:numId w:val="1018"/>
        </w:numPr>
      </w:pPr>
      <w:r>
        <w:t xml:space="preserve">Только в сухой среде</w:t>
      </w:r>
    </w:p>
    <w:p>
      <w:pPr>
        <w:pStyle w:val="Compact"/>
        <w:numPr>
          <w:ilvl w:val="0"/>
          <w:numId w:val="1018"/>
        </w:numPr>
      </w:pPr>
      <w:r>
        <w:t xml:space="preserve">Строго в соответствии с манипуляционными знаками на упаковке</w:t>
      </w:r>
    </w:p>
    <w:bookmarkEnd w:id="47"/>
    <w:bookmarkStart w:id="48" w:name="допустимые-условия"/>
    <w:p>
      <w:pPr>
        <w:pStyle w:val="Heading3"/>
      </w:pPr>
      <w:r>
        <w:t xml:space="preserve">7.2 Допустимые условия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Температура при транспортировке</w:t>
            </w:r>
          </w:p>
        </w:tc>
        <w:tc>
          <w:tcPr/>
          <w:p>
            <w:pPr>
              <w:pStyle w:val="Compact"/>
            </w:pPr>
            <w:r>
              <w:t xml:space="preserve">от −35°С до +50°С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Положение</w:t>
            </w:r>
          </w:p>
        </w:tc>
        <w:tc>
          <w:tcPr/>
          <w:p>
            <w:pPr>
              <w:pStyle w:val="Compact"/>
            </w:pPr>
            <w:r>
              <w:t xml:space="preserve">Вертикальное, согласно маркировке</w:t>
            </w:r>
          </w:p>
        </w:tc>
      </w:tr>
    </w:tbl>
    <w:bookmarkEnd w:id="48"/>
    <w:bookmarkStart w:id="49" w:name="требования-к-креплению"/>
    <w:p>
      <w:pPr>
        <w:pStyle w:val="Heading3"/>
      </w:pPr>
      <w:r>
        <w:t xml:space="preserve">7.3 Требования к креплению</w:t>
      </w:r>
    </w:p>
    <w:p>
      <w:pPr>
        <w:pStyle w:val="Compact"/>
        <w:numPr>
          <w:ilvl w:val="0"/>
          <w:numId w:val="1019"/>
        </w:numPr>
      </w:pPr>
      <w:r>
        <w:t xml:space="preserve">Груз должен быть надёжно закреплён</w:t>
      </w:r>
    </w:p>
    <w:p>
      <w:pPr>
        <w:pStyle w:val="Compact"/>
        <w:numPr>
          <w:ilvl w:val="0"/>
          <w:numId w:val="1019"/>
        </w:numPr>
      </w:pPr>
      <w:r>
        <w:t xml:space="preserve">Исключить любое перемещение, падение, давление</w:t>
      </w:r>
    </w:p>
    <w:p>
      <w:pPr>
        <w:pStyle w:val="Compact"/>
        <w:numPr>
          <w:ilvl w:val="0"/>
          <w:numId w:val="1019"/>
        </w:numPr>
      </w:pPr>
      <w:r>
        <w:t xml:space="preserve">Исключить взаимное трение частей терминала</w:t>
      </w:r>
    </w:p>
    <w:p>
      <w:pPr>
        <w:pStyle w:val="BlockText"/>
      </w:pPr>
      <w:r>
        <w:rPr>
          <w:b/>
          <w:bCs/>
        </w:rPr>
        <w:t xml:space="preserve">ЗАПРЕЩАЕТСЯ</w:t>
      </w:r>
      <w:r>
        <w:t xml:space="preserve"> </w:t>
      </w:r>
      <w:r>
        <w:t xml:space="preserve">подвергать терминал ударным нагрузкам при погрузочно-разгрузочных работах.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2025-12-17T15:59:50Z</dcterms:created>
  <dcterms:modified xsi:type="dcterms:W3CDTF">2025-12-17T15:59:50Z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