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Баранов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</w:t>
      </w:r>
      <w:r>
        <w:t xml:space="preserve"> </w:t>
      </w:r>
      <w:r>
        <w:t xml:space="preserve">В общем случае его можно разделить на четыре этапа:</w:t>
      </w:r>
    </w:p>
    <w:p>
      <w:pPr>
        <w:numPr>
          <w:ilvl w:val="0"/>
          <w:numId w:val="1001"/>
        </w:numPr>
      </w:pPr>
      <w:r>
        <w:t xml:space="preserve">обнаружение ошибки;</w:t>
      </w:r>
    </w:p>
    <w:p>
      <w:pPr>
        <w:numPr>
          <w:ilvl w:val="0"/>
          <w:numId w:val="1001"/>
        </w:numPr>
      </w:pPr>
      <w:r>
        <w:t xml:space="preserve">поиск её местонахождения;</w:t>
      </w:r>
    </w:p>
    <w:p>
      <w:pPr>
        <w:numPr>
          <w:ilvl w:val="0"/>
          <w:numId w:val="1001"/>
        </w:numPr>
      </w:pPr>
      <w:r>
        <w:t xml:space="preserve">определение причины ошибки;</w:t>
      </w:r>
    </w:p>
    <w:p>
      <w:pPr>
        <w:numPr>
          <w:ilvl w:val="0"/>
          <w:numId w:val="1001"/>
        </w:numPr>
      </w:pPr>
      <w:r>
        <w:t xml:space="preserve">исправление ошибки.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</w:t>
      </w:r>
      <w:r>
        <w:t xml:space="preserve"> </w:t>
      </w:r>
      <w:r>
        <w:t xml:space="preserve">GDB предлагает обширные средства для слежения и контроля за выполнением</w:t>
      </w:r>
      <w:r>
        <w:t xml:space="preserve"> </w:t>
      </w:r>
      <w:r>
        <w:t xml:space="preserve">компьютерных программ. Отладчик не содержит собственного графического</w:t>
      </w:r>
      <w:r>
        <w:t xml:space="preserve"> </w:t>
      </w:r>
      <w:r>
        <w:t xml:space="preserve">пользовательского интерфейса и использует стандартный текстовый интерфейс</w:t>
      </w:r>
      <w:r>
        <w:t xml:space="preserve"> </w:t>
      </w:r>
      <w:r>
        <w:t xml:space="preserve">консоли. Однако для GDB существует несколько сторонних графических надстроек,</w:t>
      </w:r>
      <w:r>
        <w:t xml:space="preserve"> </w:t>
      </w:r>
      <w:r>
        <w:t xml:space="preserve">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</w:t>
      </w:r>
      <w:r>
        <w:t xml:space="preserve"> </w:t>
      </w:r>
      <w:r>
        <w:t xml:space="preserve">«внутри» программы в момент её выполнения или что делает программа в</w:t>
      </w:r>
      <w:r>
        <w:t xml:space="preserve"> </w:t>
      </w:r>
      <w:r>
        <w:t xml:space="preserve">момент сбоя.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</w:t>
      </w:r>
      <w:r>
        <w:t xml:space="preserve"> </w:t>
      </w:r>
      <w:r>
        <w:t xml:space="preserve">который можно многократно вызывать из разных мест программы.</w:t>
      </w:r>
      <w:r>
        <w:t xml:space="preserve"> </w:t>
      </w:r>
      <w:r>
        <w:t xml:space="preserve">В отличие от простых переходов из подпрограмм существует возврат на команду, следующую за вызовом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bookmarkStart w:id="25" w:name="fig:001"/>
      <w:r>
        <w:drawing>
          <wp:inline>
            <wp:extent cx="5334000" cy="5576061"/>
            <wp:effectExtent b="0" l="0" r="0" t="0"/>
            <wp:docPr descr="Рис. 1: Программа в файле lab9-1.asm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bookmarkStart w:id="29" w:name="fig:002"/>
      <w:r>
        <w:drawing>
          <wp:inline>
            <wp:extent cx="5334000" cy="1484996"/>
            <wp:effectExtent b="0" l="0" r="0" t="0"/>
            <wp:docPr descr="Рис. 2: Запуск программы lab9-1.asm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3" w:name="fig:003"/>
      <w:r>
        <w:drawing>
          <wp:inline>
            <wp:extent cx="5334000" cy="5483831"/>
            <wp:effectExtent b="0" l="0" r="0" t="0"/>
            <wp:docPr descr="Рис. 3: Программа в файле lab9-1.asm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7" w:name="fig:004"/>
      <w:r>
        <w:drawing>
          <wp:inline>
            <wp:extent cx="5334000" cy="1353295"/>
            <wp:effectExtent b="0" l="0" r="0" t="0"/>
            <wp:docPr descr="Рис. 4: Запуск программы lab9-1.asm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Запуск программы lab9-1.asm</w:t>
      </w:r>
    </w:p>
    <w:bookmarkEnd w:id="38"/>
    <w:bookmarkStart w:id="87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2" w:name="fig:005"/>
      <w:r>
        <w:drawing>
          <wp:inline>
            <wp:extent cx="5334000" cy="4272255"/>
            <wp:effectExtent b="0" l="0" r="0" t="0"/>
            <wp:docPr descr="Рис. 5: Программа в файле lab9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6" w:name="fig:006"/>
      <w:r>
        <w:drawing>
          <wp:inline>
            <wp:extent cx="5334000" cy="3005718"/>
            <wp:effectExtent b="0" l="0" r="0" t="0"/>
            <wp:docPr descr="Рис. 6: Запуск программы lab9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50" w:name="fig:007"/>
      <w:r>
        <w:drawing>
          <wp:inline>
            <wp:extent cx="5334000" cy="4980467"/>
            <wp:effectExtent b="0" l="0" r="0" t="0"/>
            <wp:docPr descr="Рис. 7: Диз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4" w:name="fig:008"/>
      <w:r>
        <w:drawing>
          <wp:inline>
            <wp:extent cx="5334000" cy="4794000"/>
            <wp:effectExtent b="0" l="0" r="0" t="0"/>
            <wp:docPr descr="Рис. 8: Диз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8" w:name="fig:009"/>
      <w:r>
        <w:drawing>
          <wp:inline>
            <wp:extent cx="5334000" cy="4725581"/>
            <wp:effectExtent b="0" l="0" r="0" t="0"/>
            <wp:docPr descr="Рис. 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5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2" w:name="fig:010"/>
      <w:r>
        <w:drawing>
          <wp:inline>
            <wp:extent cx="5334000" cy="4686216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4705433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70" w:name="fig:012"/>
      <w:r>
        <w:drawing>
          <wp:inline>
            <wp:extent cx="5334000" cy="4687810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4" w:name="fig:013"/>
      <w:r>
        <w:drawing>
          <wp:inline>
            <wp:extent cx="5334000" cy="4656947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8" w:name="fig:014"/>
      <w:r>
        <w:drawing>
          <wp:inline>
            <wp:extent cx="5334000" cy="4666518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6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bookmarkStart w:id="82" w:name="fig:015"/>
      <w:r>
        <w:drawing>
          <wp:inline>
            <wp:extent cx="5334000" cy="3634803"/>
            <wp:effectExtent b="0" l="0" r="0" t="0"/>
            <wp:docPr descr="Рис. 15: Программа в файле lab9-3.asm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6" w:name="fig:016"/>
      <w:r>
        <w:drawing>
          <wp:inline>
            <wp:extent cx="5334000" cy="4684083"/>
            <wp:effectExtent b="0" l="0" r="0" t="0"/>
            <wp:docPr descr="Рис. 16: Вывод значения регистр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7"/>
    <w:bookmarkStart w:id="112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bookmarkStart w:id="91" w:name="fig:017"/>
      <w:r>
        <w:drawing>
          <wp:inline>
            <wp:extent cx="5334000" cy="5961050"/>
            <wp:effectExtent b="0" l="0" r="0" t="0"/>
            <wp:docPr descr="Рис. 17: Программа в файле task-1.asm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bookmarkStart w:id="95" w:name="fig:018"/>
      <w:r>
        <w:drawing>
          <wp:inline>
            <wp:extent cx="5334000" cy="1704607"/>
            <wp:effectExtent b="0" l="0" r="0" t="0"/>
            <wp:docPr descr="Рис. 18: Запуск программы task-1.asm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bookmarkStart w:id="99" w:name="fig:019"/>
      <w:r>
        <w:drawing>
          <wp:inline>
            <wp:extent cx="5334000" cy="4298271"/>
            <wp:effectExtent b="0" l="0" r="0" t="0"/>
            <wp:docPr descr="Рис. 19: Код с ошибкой в файле task-2.asm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bookmarkStart w:id="103" w:name="fig:020"/>
      <w:r>
        <w:drawing>
          <wp:inline>
            <wp:extent cx="5334000" cy="4726403"/>
            <wp:effectExtent b="0" l="0" r="0" t="0"/>
            <wp:docPr descr="Рис. 20: Отладка task-2.asm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bookmarkStart w:id="107" w:name="fig:021"/>
      <w:r>
        <w:drawing>
          <wp:inline>
            <wp:extent cx="5334000" cy="3596124"/>
            <wp:effectExtent b="0" l="0" r="0" t="0"/>
            <wp:docPr descr="Рис. 21: Код исправлен в файле task-2.asm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bookmarkStart w:id="111" w:name="fig:022"/>
      <w:r>
        <w:drawing>
          <wp:inline>
            <wp:extent cx="5334000" cy="4686216"/>
            <wp:effectExtent b="0" l="0" r="0" t="0"/>
            <wp:docPr descr="Рис. 22: Проверка работы task-2.asm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Проверка работы task-2.asm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Баранов Георгий Павлович</dc:creator>
  <dc:language>ru-RU</dc:language>
  <cp:keywords/>
  <dcterms:created xsi:type="dcterms:W3CDTF">2024-12-04T12:30:46Z</dcterms:created>
  <dcterms:modified xsi:type="dcterms:W3CDTF">2024-12-04T12:30:46Z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