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0EBDE"/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color w:val="1a202c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1a202c"/>
          <w:sz w:val="30"/>
          <w:szCs w:val="30"/>
          <w:u w:val="single"/>
          <w:rtl w:val="0"/>
        </w:rPr>
        <w:t xml:space="preserve">Vidéo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color w:val="1a202c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Elden Ring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color w:val="1a202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2.6666666666665"/>
        <w:gridCol w:w="3792.6666666666665"/>
        <w:gridCol w:w="3792.6666666666665"/>
        <w:tblGridChange w:id="0">
          <w:tblGrid>
            <w:gridCol w:w="3792.6666666666665"/>
            <w:gridCol w:w="3792.6666666666665"/>
            <w:gridCol w:w="3792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i w:val="1"/>
                <w:color w:val="85200c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color w:val="85200c"/>
                <w:sz w:val="30"/>
                <w:szCs w:val="30"/>
                <w:rtl w:val="0"/>
              </w:rPr>
              <w:t xml:space="preserve">Autonomie du joueur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i w:val="1"/>
                <w:color w:val="85200c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color w:val="85200c"/>
                <w:sz w:val="30"/>
                <w:szCs w:val="30"/>
                <w:rtl w:val="0"/>
              </w:rPr>
              <w:t xml:space="preserve">Compétence du joueur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i w:val="1"/>
                <w:color w:val="85200c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i w:val="1"/>
                <w:color w:val="85200c"/>
                <w:sz w:val="30"/>
                <w:szCs w:val="30"/>
                <w:rtl w:val="0"/>
              </w:rPr>
              <w:t xml:space="preserve">Besoin de relations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0:06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Choix de la classe =&gt; influence sur l’esthétique et le gameplay pour que le joueur puisse s’identifier à celle-ci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0</w:t>
            </w: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:55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Personnalisation plus précise des caractéristiques physiques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11:18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Le tutoriel ne s’affiche qu’à la 1ère mort du joueur pour ne pas ennuyer les habitués du domaine ; il peut alors choisir ou non de se rendre sur les lieux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12:00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Le joueur est maintenant laissé très autonome dans ses déplacements, même lors de passages clés qui pourraient nécessiter un tutoriel, comme l’activation du 1er checkpoint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13:24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Les éléments finaux du tutoriel nous apparaissent sous forme de dialogues avec un PNJ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0:18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Affichage des statistiques =&gt; le joueur découvre que ce choix aura une influence sur le gameplay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1:27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Choix de l’équipement =&gt; les choix emmènent le joueur plus loin dans ses réflexions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6:55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Le joueur possède enfin le contrôle de son personnage dans l’espace =&gt; sentiment de liberté soudain et d’expansion des compétences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7:10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1er objet obtenu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8:33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Le 1er ennemi apparaît et a même un nom =&gt; ce qui lui confère de l’importance pour le joueur, et donc le gratifie davantage pour la mort de cet ennemi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16:22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Le second ennemi fait de même, ce qui en remet une couche sur le moral du joueur, mais peut avoir l’effet inverse si celui-ci parvient à vaincre cet ennemi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3:00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Cinématique du prologue =&gt; le joueur en apprend sur le monde dans lequel il va évoluer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3:35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Les premiers autres personnages de l’histoire apparaissent =&gt; le joueur peut identifier qui il peut considérer comme amis ou comme ennemis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7:04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Le joueur peut lire les messages écrit par d’autres, pour le meilleur ou pour le pire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7:13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Il peut même voir d’autres personnes en ligne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10:00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Un autre PNJ a l’air de prendre pour affection notre personnage joueur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11:30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Le jeu nous confirme que notre personnage appartient aux “Sans-éclat” ; le joueur ne le considère alors plus comme un héros à cause du nom péjoratif utilisé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4"/>
                <w:szCs w:val="24"/>
                <w:u w:val="single"/>
                <w:rtl w:val="0"/>
              </w:rPr>
              <w:t xml:space="preserve">12:45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mfortaa" w:cs="Comfortaa" w:eastAsia="Comfortaa" w:hAnsi="Comfortaa"/>
                <w:color w:val="0b5394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0b5394"/>
                <w:sz w:val="24"/>
                <w:szCs w:val="24"/>
                <w:rtl w:val="0"/>
              </w:rPr>
              <w:t xml:space="preserve">Apparition du “monde-ouvert” =&gt; le joueur ne le sait pas encore, mais toutes les structures qu’il aperçoit au loin pourront être visitées par la suite</w:t>
            </w:r>
          </w:p>
        </w:tc>
      </w:tr>
    </w:tbl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color w:val="0b5394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OIpFAsYX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