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0EBDE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i w:val="1"/>
          <w:color w:val="274e13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a202c"/>
          <w:sz w:val="32"/>
          <w:szCs w:val="32"/>
          <w:u w:val="single"/>
          <w:rtl w:val="0"/>
        </w:rPr>
        <w:t xml:space="preserve">Vidéo :</w:t>
      </w:r>
      <w:r w:rsidDel="00000000" w:rsidR="00000000" w:rsidRPr="00000000">
        <w:rPr>
          <w:rFonts w:ascii="Comfortaa" w:cs="Comfortaa" w:eastAsia="Comfortaa" w:hAnsi="Comfortaa"/>
          <w:color w:val="1a202c"/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FC4 Skill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mfortaa" w:cs="Comfortaa" w:eastAsia="Comfortaa" w:hAnsi="Comfortaa"/>
          <w:b w:val="1"/>
          <w:i w:val="1"/>
          <w:color w:val="274e13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74e13"/>
          <w:sz w:val="32"/>
          <w:szCs w:val="32"/>
          <w:rtl w:val="0"/>
        </w:rPr>
        <w:t xml:space="preserve">L’équipe de recherche utilisateur vous indique que les joueurs ne comprennent pas dans quel ordre ils peuvent débloquer les compétences…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 Medium" w:cs="Comfortaa Medium" w:eastAsia="Comfortaa Medium" w:hAnsi="Comfortaa Medium"/>
          <w:sz w:val="28"/>
          <w:szCs w:val="28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Écran</w:t>
      </w: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u w:val="single"/>
          <w:rtl w:val="0"/>
        </w:rPr>
        <w:t xml:space="preserve"> principal :</w:t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 Medium" w:cs="Comfortaa Medium" w:eastAsia="Comfortaa Medium" w:hAnsi="Comfortaa Medium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Flèches -</w:t>
      </w:r>
    </w:p>
    <w:p w:rsidR="00000000" w:rsidDel="00000000" w:rsidP="00000000" w:rsidRDefault="00000000" w:rsidRPr="00000000" w14:paraId="0000000A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(trop peu opaques, et ainsi peu visibles par rapport aux animations d’arrière-plan)</w:t>
      </w:r>
    </w:p>
    <w:p w:rsidR="00000000" w:rsidDel="00000000" w:rsidP="00000000" w:rsidRDefault="00000000" w:rsidRPr="00000000" w14:paraId="0000000C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Bulles de compétences -</w:t>
      </w:r>
    </w:p>
    <w:p w:rsidR="00000000" w:rsidDel="00000000" w:rsidP="00000000" w:rsidRDefault="00000000" w:rsidRPr="00000000" w14:paraId="0000000F">
      <w:pPr>
        <w:ind w:left="72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(groupées par colonnes au lieu des lignes, ce qui rend confus la perception du joueur, car les paliers d’améliorations suivent les lignes et non les colonnes)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Couleur des bulles -</w:t>
      </w:r>
    </w:p>
    <w:p w:rsidR="00000000" w:rsidDel="00000000" w:rsidP="00000000" w:rsidRDefault="00000000" w:rsidRPr="00000000" w14:paraId="00000014">
      <w:pPr>
        <w:ind w:left="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b5394"/>
          <w:sz w:val="24"/>
          <w:szCs w:val="24"/>
          <w:rtl w:val="0"/>
        </w:rPr>
        <w:t xml:space="preserve">(certaines compétences avec un cadenas n’ont pas encore été découvertes ; mais le joueur peut penser qu’elles ne sont tout simplement pas accessibles, alors même que les compétences grisées peuvent être accessibles ou non : seul le coût influe là-dessus)</w:t>
      </w:r>
    </w:p>
    <w:p w:rsidR="00000000" w:rsidDel="00000000" w:rsidP="00000000" w:rsidRDefault="00000000" w:rsidRPr="00000000" w14:paraId="00000016">
      <w:pPr>
        <w:rPr>
          <w:rFonts w:ascii="Comfortaa Medium" w:cs="Comfortaa Medium" w:eastAsia="Comfortaa Medium" w:hAnsi="Comfortaa Medium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3JsOKfJiZ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