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9.png" ContentType="image/png"/>
  <Override PartName="/word/media/image28.png" ContentType="image/png"/>
  <Override PartName="/word/media/image27.png" ContentType="image/png"/>
  <Override PartName="/word/media/image6.png" ContentType="image/png"/>
  <Override PartName="/word/media/image15.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4.png" ContentType="image/png"/>
  <Override PartName="/word/media/image5.png" ContentType="image/png"/>
  <Override PartName="/word/media/image21.png" ContentType="image/png"/>
  <Override PartName="/word/media/image1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240"/>
        <w:jc w:val="center"/>
        <w:rPr/>
      </w:pPr>
      <w:r>
        <w:rPr>
          <w:rFonts w:eastAsia="Times New Roman" w:cs="Times New Roman"/>
          <w:b/>
          <w:bCs/>
          <w:sz w:val="36"/>
          <w:szCs w:val="36"/>
        </w:rPr>
        <w:t>Prueba de Endpoints y Guarantee Event Consume Order en CQRS y Event Sourcing</w:t>
      </w:r>
    </w:p>
    <w:p>
      <w:pPr>
        <w:pStyle w:val="Normal"/>
        <w:spacing w:before="0" w:after="800"/>
        <w:jc w:val="center"/>
        <w:rPr/>
      </w:pPr>
      <w:r>
        <w:rPr>
          <w:rFonts w:eastAsia="Times New Roman" w:cs="Times New Roman"/>
          <w:sz w:val="26"/>
          <w:szCs w:val="26"/>
        </w:rPr>
        <w:t>Spring Boot · Apache Kafka · MongoDB · MySQL</w:t>
      </w:r>
    </w:p>
    <w:p>
      <w:pPr>
        <w:pStyle w:val="Normal"/>
        <w:spacing w:before="0" w:after="120"/>
        <w:jc w:val="center"/>
        <w:rPr/>
      </w:pPr>
      <w:r>
        <w:rPr>
          <w:rFonts w:eastAsia="Times New Roman" w:cs="Times New Roman"/>
          <w:sz w:val="24"/>
          <w:szCs w:val="24"/>
        </w:rPr>
        <w:t>Estudiante: ______________________________</w:t>
      </w:r>
    </w:p>
    <w:p>
      <w:pPr>
        <w:pStyle w:val="Normal"/>
        <w:spacing w:before="0" w:after="120"/>
        <w:jc w:val="center"/>
        <w:rPr/>
      </w:pPr>
      <w:r>
        <w:rPr>
          <w:rFonts w:eastAsia="Times New Roman" w:cs="Times New Roman"/>
          <w:sz w:val="24"/>
          <w:szCs w:val="24"/>
        </w:rPr>
        <w:t>Repositorio base: jrquinte/cqrs-event-sourcing-kafka</w:t>
      </w:r>
    </w:p>
    <w:p>
      <w:pPr>
        <w:pStyle w:val="Normal"/>
        <w:spacing w:before="0" w:after="120"/>
        <w:jc w:val="center"/>
        <w:rPr/>
      </w:pPr>
      <w:r>
        <w:rPr>
          <w:rFonts w:eastAsia="Times New Roman" w:cs="Times New Roman"/>
          <w:sz w:val="24"/>
          <w:szCs w:val="24"/>
        </w:rPr>
        <w:t xml:space="preserve">Fork de trabajo: </w:t>
      </w:r>
      <w:hyperlink r:id="rId2">
        <w:r>
          <w:rPr>
            <w:rStyle w:val="ListLabel12"/>
            <w:rFonts w:eastAsia="Times New Roman" w:cs="Times New Roman"/>
            <w:sz w:val="24"/>
            <w:szCs w:val="24"/>
            <w:u w:val="single"/>
          </w:rPr>
          <w:t>github.com/Electromayonaise/cqrs-event-sourcing-kafka</w:t>
        </w:r>
      </w:hyperlink>
    </w:p>
    <w:p>
      <w:pPr>
        <w:pStyle w:val="Normal"/>
        <w:spacing w:before="0" w:after="120"/>
        <w:jc w:val="center"/>
        <w:rPr/>
      </w:pPr>
      <w:r>
        <w:rPr>
          <w:rFonts w:eastAsia="Times New Roman" w:cs="Times New Roman"/>
          <w:sz w:val="24"/>
          <w:szCs w:val="24"/>
        </w:rPr>
        <w:t>Fecha: 19 de octubre de 2026</w:t>
      </w:r>
      <w:r>
        <w:br w:type="page"/>
      </w:r>
    </w:p>
    <w:p>
      <w:pPr>
        <w:pStyle w:val="Normal"/>
        <w:spacing w:before="0" w:after="200"/>
        <w:rPr/>
      </w:pPr>
      <w:r>
        <w:rPr>
          <w:rFonts w:eastAsia="Times New Roman" w:cs="Times New Roman"/>
          <w:b/>
          <w:bCs/>
          <w:sz w:val="28"/>
          <w:szCs w:val="28"/>
        </w:rPr>
        <w:t>Contenido</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1166_106778696">
            <w:r>
              <w:rPr>
                <w:rStyle w:val="IndexLink"/>
              </w:rPr>
              <w:t>1. Alcance y correspondencia con el enunciado</w:t>
              <w:tab/>
              <w:t>3</w:t>
            </w:r>
          </w:hyperlink>
        </w:p>
        <w:p>
          <w:pPr>
            <w:pStyle w:val="TOC1"/>
            <w:tabs>
              <w:tab w:val="clear" w:pos="9360"/>
              <w:tab w:val="right" w:pos="9359" w:leader="dot"/>
            </w:tabs>
            <w:rPr/>
          </w:pPr>
          <w:hyperlink w:anchor="__RefHeading___Toc1168_106778696">
            <w:r>
              <w:rPr>
                <w:rStyle w:val="IndexLink"/>
              </w:rPr>
              <w:t>2. Entorno de ejecución</w:t>
              <w:tab/>
              <w:t>3</w:t>
            </w:r>
          </w:hyperlink>
        </w:p>
        <w:p>
          <w:pPr>
            <w:pStyle w:val="TOC1"/>
            <w:tabs>
              <w:tab w:val="clear" w:pos="9360"/>
              <w:tab w:val="right" w:pos="9359" w:leader="dot"/>
            </w:tabs>
            <w:rPr/>
          </w:pPr>
          <w:hyperlink w:anchor="__RefHeading___Toc1170_106778696">
            <w:r>
              <w:rPr>
                <w:rStyle w:val="IndexLink"/>
              </w:rPr>
              <w:t>3. Parte 1: Prueba de endpoints</w:t>
              <w:tab/>
              <w:t>4</w:t>
            </w:r>
          </w:hyperlink>
        </w:p>
        <w:p>
          <w:pPr>
            <w:pStyle w:val="TOC2"/>
            <w:tabs>
              <w:tab w:val="clear" w:pos="9077"/>
              <w:tab w:val="right" w:pos="9359" w:leader="dot"/>
            </w:tabs>
            <w:rPr/>
          </w:pPr>
          <w:hyperlink w:anchor="__RefHeading___Toc1172_106778696">
            <w:r>
              <w:rPr>
                <w:rStyle w:val="IndexLink"/>
              </w:rPr>
              <w:t>3.1 OpenAccountController: abrir cuenta</w:t>
              <w:tab/>
              <w:t>5</w:t>
            </w:r>
          </w:hyperlink>
        </w:p>
        <w:p>
          <w:pPr>
            <w:pStyle w:val="TOC2"/>
            <w:tabs>
              <w:tab w:val="clear" w:pos="9077"/>
              <w:tab w:val="right" w:pos="9359" w:leader="dot"/>
            </w:tabs>
            <w:rPr/>
          </w:pPr>
          <w:hyperlink w:anchor="__RefHeading___Toc1174_106778696">
            <w:r>
              <w:rPr>
                <w:rStyle w:val="IndexLink"/>
              </w:rPr>
              <w:t>3.2 DepositFundsController: depositar fondos</w:t>
              <w:tab/>
              <w:t>5</w:t>
            </w:r>
          </w:hyperlink>
        </w:p>
        <w:p>
          <w:pPr>
            <w:pStyle w:val="TOC2"/>
            <w:tabs>
              <w:tab w:val="clear" w:pos="9077"/>
              <w:tab w:val="right" w:pos="9359" w:leader="dot"/>
            </w:tabs>
            <w:rPr/>
          </w:pPr>
          <w:hyperlink w:anchor="__RefHeading___Toc1176_106778696">
            <w:r>
              <w:rPr>
                <w:rStyle w:val="IndexLink"/>
              </w:rPr>
              <w:t>3.3 WithdrawFundsController: retirar fondos</w:t>
              <w:tab/>
              <w:t>6</w:t>
            </w:r>
          </w:hyperlink>
        </w:p>
        <w:p>
          <w:pPr>
            <w:pStyle w:val="TOC2"/>
            <w:tabs>
              <w:tab w:val="clear" w:pos="9077"/>
              <w:tab w:val="right" w:pos="9359" w:leader="dot"/>
            </w:tabs>
            <w:rPr/>
          </w:pPr>
          <w:hyperlink w:anchor="__RefHeading___Toc1178_106778696">
            <w:r>
              <w:rPr>
                <w:rStyle w:val="IndexLink"/>
              </w:rPr>
              <w:t>3.4 AccountLookupController: consultas (GET)</w:t>
              <w:tab/>
              <w:t>7</w:t>
            </w:r>
          </w:hyperlink>
        </w:p>
        <w:p>
          <w:pPr>
            <w:pStyle w:val="TOC2"/>
            <w:tabs>
              <w:tab w:val="clear" w:pos="9077"/>
              <w:tab w:val="right" w:pos="9359" w:leader="dot"/>
            </w:tabs>
            <w:rPr/>
          </w:pPr>
          <w:hyperlink w:anchor="__RefHeading___Toc1180_106778696">
            <w:r>
              <w:rPr>
                <w:rStyle w:val="IndexLink"/>
              </w:rPr>
              <w:t>3.5 CloseAccountController: cerrar cuenta</w:t>
              <w:tab/>
              <w:t>9</w:t>
            </w:r>
          </w:hyperlink>
        </w:p>
        <w:p>
          <w:pPr>
            <w:pStyle w:val="TOC2"/>
            <w:tabs>
              <w:tab w:val="clear" w:pos="9077"/>
              <w:tab w:val="right" w:pos="9359" w:leader="dot"/>
            </w:tabs>
            <w:rPr/>
          </w:pPr>
          <w:hyperlink w:anchor="__RefHeading___Toc1182_106778696">
            <w:r>
              <w:rPr>
                <w:rStyle w:val="IndexLink"/>
              </w:rPr>
              <w:t>3.6 RestoreReadDbController: restaurar la base de datos de lectura</w:t>
              <w:tab/>
              <w:t>10</w:t>
            </w:r>
          </w:hyperlink>
        </w:p>
        <w:p>
          <w:pPr>
            <w:pStyle w:val="TOC2"/>
            <w:tabs>
              <w:tab w:val="clear" w:pos="9077"/>
              <w:tab w:val="right" w:pos="9359" w:leader="dot"/>
            </w:tabs>
            <w:rPr/>
          </w:pPr>
          <w:hyperlink w:anchor="__RefHeading___Toc1184_106778696">
            <w:r>
              <w:rPr>
                <w:rStyle w:val="IndexLink"/>
              </w:rPr>
              <w:t>3.7 Flujo de eventos observado en los logs</w:t>
              <w:tab/>
              <w:t>11</w:t>
            </w:r>
          </w:hyperlink>
        </w:p>
        <w:p>
          <w:pPr>
            <w:pStyle w:val="TOC1"/>
            <w:tabs>
              <w:tab w:val="clear" w:pos="9360"/>
              <w:tab w:val="right" w:pos="9359" w:leader="dot"/>
            </w:tabs>
            <w:rPr/>
          </w:pPr>
          <w:hyperlink w:anchor="__RefHeading___Toc1186_106778696">
            <w:r>
              <w:rPr>
                <w:rStyle w:val="IndexLink"/>
              </w:rPr>
              <w:t>4. Parte 2: Cambios para garantizar el orden de consumo</w:t>
              <w:tab/>
              <w:t>11</w:t>
            </w:r>
          </w:hyperlink>
        </w:p>
        <w:p>
          <w:pPr>
            <w:pStyle w:val="TOC2"/>
            <w:tabs>
              <w:tab w:val="clear" w:pos="9077"/>
              <w:tab w:val="right" w:pos="9359" w:leader="dot"/>
            </w:tabs>
            <w:rPr/>
          </w:pPr>
          <w:hyperlink w:anchor="__RefHeading___Toc1188_106778696">
            <w:r>
              <w:rPr>
                <w:rStyle w:val="IndexLink"/>
              </w:rPr>
              <w:t>4.1 El problema</w:t>
              <w:tab/>
              <w:t>11</w:t>
            </w:r>
          </w:hyperlink>
        </w:p>
        <w:p>
          <w:pPr>
            <w:pStyle w:val="TOC2"/>
            <w:tabs>
              <w:tab w:val="clear" w:pos="9077"/>
              <w:tab w:val="right" w:pos="9359" w:leader="dot"/>
            </w:tabs>
            <w:rPr/>
          </w:pPr>
          <w:hyperlink w:anchor="__RefHeading___Toc1190_106778696">
            <w:r>
              <w:rPr>
                <w:rStyle w:val="IndexLink"/>
              </w:rPr>
              <w:t>4.2 Cambios solicitados por el enunciado</w:t>
              <w:tab/>
              <w:t>12</w:t>
            </w:r>
          </w:hyperlink>
        </w:p>
        <w:p>
          <w:pPr>
            <w:pStyle w:val="TOC2"/>
            <w:tabs>
              <w:tab w:val="clear" w:pos="9077"/>
              <w:tab w:val="right" w:pos="9359" w:leader="dot"/>
            </w:tabs>
            <w:rPr/>
          </w:pPr>
          <w:hyperlink w:anchor="__RefHeading___Toc1192_106778696">
            <w:r>
              <w:rPr>
                <w:rStyle w:val="IndexLink"/>
              </w:rPr>
              <w:t>4.3 Cambios complementarios</w:t>
              <w:tab/>
              <w:t>16</w:t>
            </w:r>
          </w:hyperlink>
        </w:p>
        <w:p>
          <w:pPr>
            <w:pStyle w:val="TOC1"/>
            <w:tabs>
              <w:tab w:val="clear" w:pos="9360"/>
              <w:tab w:val="right" w:pos="9359" w:leader="dot"/>
            </w:tabs>
            <w:rPr/>
          </w:pPr>
          <w:hyperlink w:anchor="__RefHeading___Toc1194_106778696">
            <w:r>
              <w:rPr>
                <w:rStyle w:val="IndexLink"/>
              </w:rPr>
              <w:t>5. Parte 2: Prueba de reproducción de eventos</w:t>
              <w:tab/>
              <w:t>17</w:t>
            </w:r>
          </w:hyperlink>
        </w:p>
        <w:p>
          <w:pPr>
            <w:pStyle w:val="TOC2"/>
            <w:tabs>
              <w:tab w:val="clear" w:pos="9077"/>
              <w:tab w:val="right" w:pos="9359" w:leader="dot"/>
            </w:tabs>
            <w:rPr/>
          </w:pPr>
          <w:hyperlink w:anchor="__RefHeading___Toc1196_106778696">
            <w:r>
              <w:rPr>
                <w:rStyle w:val="IndexLink"/>
              </w:rPr>
              <w:t>5.1 Un solo topic en Kafka</w:t>
              <w:tab/>
              <w:t>17</w:t>
            </w:r>
          </w:hyperlink>
        </w:p>
        <w:p>
          <w:pPr>
            <w:pStyle w:val="TOC2"/>
            <w:tabs>
              <w:tab w:val="clear" w:pos="9077"/>
              <w:tab w:val="right" w:pos="9359" w:leader="dot"/>
            </w:tabs>
            <w:rPr/>
          </w:pPr>
          <w:hyperlink w:anchor="__RefHeading___Toc1198_106778696">
            <w:r>
              <w:rPr>
                <w:rStyle w:val="IndexLink"/>
              </w:rPr>
              <w:t>5.2 Serie de operaciones</w:t>
              <w:tab/>
              <w:t>17</w:t>
            </w:r>
          </w:hyperlink>
        </w:p>
        <w:p>
          <w:pPr>
            <w:pStyle w:val="TOC2"/>
            <w:tabs>
              <w:tab w:val="clear" w:pos="9077"/>
              <w:tab w:val="right" w:pos="9359" w:leader="dot"/>
            </w:tabs>
            <w:rPr/>
          </w:pPr>
          <w:hyperlink w:anchor="__RefHeading___Toc1200_106778696">
            <w:r>
              <w:rPr>
                <w:rStyle w:val="IndexLink"/>
              </w:rPr>
              <w:t>5.3 Reinicio simple del servicio de consulta</w:t>
              <w:tab/>
              <w:t>19</w:t>
            </w:r>
          </w:hyperlink>
        </w:p>
        <w:p>
          <w:pPr>
            <w:pStyle w:val="TOC2"/>
            <w:tabs>
              <w:tab w:val="clear" w:pos="9077"/>
              <w:tab w:val="right" w:pos="9359" w:leader="dot"/>
            </w:tabs>
            <w:rPr/>
          </w:pPr>
          <w:hyperlink w:anchor="__RefHeading___Toc1202_106778696">
            <w:r>
              <w:rPr>
                <w:rStyle w:val="IndexLink"/>
              </w:rPr>
              <w:t>5.4 Reproducción completa de los eventos</w:t>
              <w:tab/>
              <w:t>19</w:t>
            </w:r>
          </w:hyperlink>
        </w:p>
        <w:p>
          <w:pPr>
            <w:pStyle w:val="TOC2"/>
            <w:tabs>
              <w:tab w:val="clear" w:pos="9077"/>
              <w:tab w:val="right" w:pos="9359" w:leader="dot"/>
            </w:tabs>
            <w:rPr/>
          </w:pPr>
          <w:hyperlink w:anchor="__RefHeading___Toc1204_106778696">
            <w:r>
              <w:rPr>
                <w:rStyle w:val="IndexLink"/>
              </w:rPr>
              <w:t>5.5 Resultado: el modelo de lectura reconstruido es idéntico</w:t>
              <w:tab/>
              <w:t>21</w:t>
            </w:r>
          </w:hyperlink>
        </w:p>
        <w:p>
          <w:pPr>
            <w:pStyle w:val="TOC1"/>
            <w:tabs>
              <w:tab w:val="clear" w:pos="9360"/>
              <w:tab w:val="right" w:pos="9359" w:leader="dot"/>
            </w:tabs>
            <w:rPr/>
          </w:pPr>
          <w:hyperlink w:anchor="__RefHeading___Toc1206_106778696">
            <w:r>
              <w:rPr>
                <w:rStyle w:val="IndexLink"/>
              </w:rPr>
              <w:t>6. Cómo se garantiza el orden y por qué es importante</w:t>
              <w:tab/>
              <w:t>22</w:t>
            </w:r>
          </w:hyperlink>
        </w:p>
        <w:p>
          <w:pPr>
            <w:pStyle w:val="TOC2"/>
            <w:tabs>
              <w:tab w:val="clear" w:pos="9077"/>
              <w:tab w:val="right" w:pos="9359" w:leader="dot"/>
            </w:tabs>
            <w:rPr/>
          </w:pPr>
          <w:hyperlink w:anchor="__RefHeading___Toc1208_106778696">
            <w:r>
              <w:rPr>
                <w:rStyle w:val="IndexLink"/>
              </w:rPr>
              <w:t>6.1 Cómo se garantiza</w:t>
              <w:tab/>
              <w:t>22</w:t>
            </w:r>
          </w:hyperlink>
        </w:p>
        <w:p>
          <w:pPr>
            <w:pStyle w:val="TOC2"/>
            <w:tabs>
              <w:tab w:val="clear" w:pos="9077"/>
              <w:tab w:val="right" w:pos="9359" w:leader="dot"/>
            </w:tabs>
            <w:rPr/>
          </w:pPr>
          <w:hyperlink w:anchor="__RefHeading___Toc1210_106778696">
            <w:r>
              <w:rPr>
                <w:rStyle w:val="IndexLink"/>
              </w:rPr>
              <w:t>6.2 Por qué es importante en CQRS y Event Sourcing</w:t>
              <w:tab/>
              <w:t>22</w:t>
            </w:r>
          </w:hyperlink>
          <w:r>
            <w:rPr>
              <w:rStyle w:val="IndexLink"/>
            </w:rPr>
            <w:fldChar w:fldCharType="end"/>
          </w:r>
        </w:p>
      </w:sdtContent>
    </w:sdt>
    <w:p>
      <w:pPr>
        <w:pStyle w:val="Normal"/>
        <w:widowControl/>
        <w:bidi w:val="0"/>
        <w:spacing w:before="0" w:after="0"/>
        <w:jc w:val="left"/>
        <w:rPr/>
      </w:pPr>
      <w:r>
        <w:rPr/>
      </w:r>
      <w:r>
        <w:br w:type="page"/>
      </w:r>
    </w:p>
    <w:p>
      <w:pPr>
        <w:pStyle w:val="Heading1"/>
        <w:rPr/>
      </w:pPr>
      <w:bookmarkStart w:id="0" w:name="__RefHeading___Toc1166_106778696"/>
      <w:bookmarkEnd w:id="0"/>
      <w:r>
        <w:rPr/>
        <w:t>1. Alcance y correspondencia con el enunciado</w:t>
      </w:r>
    </w:p>
    <w:p>
      <w:pPr>
        <w:pStyle w:val="Normal"/>
        <w:spacing w:lineRule="exact" w:line="264" w:before="0" w:after="120"/>
        <w:jc w:val="both"/>
        <w:rPr/>
      </w:pPr>
      <w:r>
        <w:rPr>
          <w:rFonts w:eastAsia="Times New Roman" w:cs="Times New Roman"/>
          <w:sz w:val="24"/>
          <w:szCs w:val="24"/>
        </w:rPr>
        <w:t>Este documento reúne los tres entregables de la tarea. La siguiente tabla indica dónde se cubre cada punto del enunciado:</w:t>
      </w:r>
    </w:p>
    <w:tbl>
      <w:tblPr>
        <w:tblW w:w="9360" w:type="dxa"/>
        <w:jc w:val="left"/>
        <w:tblInd w:w="0" w:type="dxa"/>
        <w:tblLayout w:type="fixed"/>
        <w:tblCellMar>
          <w:top w:w="50" w:type="dxa"/>
          <w:left w:w="90" w:type="dxa"/>
          <w:bottom w:w="50" w:type="dxa"/>
          <w:right w:w="90" w:type="dxa"/>
        </w:tblCellMar>
      </w:tblPr>
      <w:tblGrid>
        <w:gridCol w:w="7660"/>
        <w:gridCol w:w="1699"/>
      </w:tblGrid>
      <w:tr>
        <w:trPr>
          <w:tblHeader w:val="true"/>
        </w:trPr>
        <w:tc>
          <w:tcPr>
            <w:tcW w:w="76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Requisito del enunciado</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Sección</w:t>
            </w:r>
          </w:p>
        </w:tc>
      </w:tr>
      <w:tr>
        <w:trPr>
          <w:cantSplit w:val="true"/>
        </w:trPr>
        <w:tc>
          <w:tcPr>
            <w:tcW w:w="76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Parte 1: probar OpenAccount, DepositFunds, WithdrawFunds, CloseAccount, AccountLookup (4 GET) y RestoreReadDb, con URL, método, cuerpo y captura de la respuesta</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3.1 a 3.6</w:t>
            </w:r>
          </w:p>
        </w:tc>
      </w:tr>
      <w:tr>
        <w:trPr>
          <w:cantSplit w:val="true"/>
        </w:trPr>
        <w:tc>
          <w:tcPr>
            <w:tcW w:w="76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Parte 2.1: un solo topic en application.yml; AccountEventStore y AccountEventSourcingHandler con el nuevo topic; EventConsumer y AccountEventConsumer con un solo método</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4.2</w:t>
            </w:r>
          </w:p>
        </w:tc>
      </w:tr>
      <w:tr>
        <w:trPr>
          <w:cantSplit w:val="true"/>
        </w:trPr>
        <w:tc>
          <w:tcPr>
            <w:tcW w:w="76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Parte 2.2: serie de operaciones (abrir, depositar, retirar, cerrar) y reinicio del servicio de consulta</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5.2 a 5.4</w:t>
            </w:r>
          </w:p>
        </w:tc>
      </w:tr>
      <w:tr>
        <w:trPr>
          <w:cantSplit w:val="true"/>
        </w:trPr>
        <w:tc>
          <w:tcPr>
            <w:tcW w:w="76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Parte 2.3: capturas de logs con el orden de consumo y explicación de cómo se garantiza el orden y por qué importa</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5.2, 5.4 y 6</w:t>
            </w:r>
          </w:p>
        </w:tc>
      </w:tr>
      <w:tr>
        <w:trPr>
          <w:cantSplit w:val="true"/>
        </w:trPr>
        <w:tc>
          <w:tcPr>
            <w:tcW w:w="76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Entregable 1: documento con capturas y explicaciones de cada endpoint</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3</w:t>
            </w:r>
          </w:p>
        </w:tc>
      </w:tr>
      <w:tr>
        <w:trPr>
          <w:cantSplit w:val="true"/>
        </w:trPr>
        <w:tc>
          <w:tcPr>
            <w:tcW w:w="76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Entregable 2: documento con los cambios para garantizar el orden de consumo</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4</w:t>
            </w:r>
          </w:p>
        </w:tc>
      </w:tr>
      <w:tr>
        <w:trPr>
          <w:cantSplit w:val="true"/>
        </w:trPr>
        <w:tc>
          <w:tcPr>
            <w:tcW w:w="76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Entregable 3: capturas y explicación de la prueba de reproducción de eventos</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w:t>
            </w:r>
          </w:p>
        </w:tc>
      </w:tr>
    </w:tbl>
    <w:p>
      <w:pPr>
        <w:pStyle w:val="Normal"/>
        <w:spacing w:before="0" w:after="80"/>
        <w:rPr/>
      </w:pPr>
      <w:r>
        <w:rPr/>
      </w:r>
    </w:p>
    <w:p>
      <w:pPr>
        <w:pStyle w:val="Normal"/>
        <w:spacing w:lineRule="exact" w:line="264" w:before="0" w:after="120"/>
        <w:jc w:val="both"/>
        <w:rPr/>
      </w:pPr>
      <w:r>
        <w:rPr>
          <w:rFonts w:eastAsia="Times New Roman" w:cs="Times New Roman"/>
          <w:sz w:val="24"/>
          <w:szCs w:val="24"/>
        </w:rPr>
        <w:t xml:space="preserve">El enunciado remite al documento “Guarantee Event Consume Order.pdf”, que no está incluido en el repositorio; los cambios se implementaron siguiendo los pasos que el propio enunciado enumera (topic único </w:t>
      </w:r>
      <w:r>
        <w:rPr>
          <w:rFonts w:eastAsia="Times New Roman" w:cs="Times New Roman"/>
          <w:i/>
          <w:iCs/>
          <w:sz w:val="24"/>
          <w:szCs w:val="24"/>
        </w:rPr>
        <w:t>BankAccountEvents</w:t>
      </w:r>
      <w:r>
        <w:rPr>
          <w:rFonts w:eastAsia="Times New Roman" w:cs="Times New Roman"/>
          <w:sz w:val="24"/>
          <w:szCs w:val="24"/>
        </w:rPr>
        <w:t>, publicación en ese topic y consumo con un solo método). Las pruebas de ambas partes se ejecutaron sobre la versión final del código, que ya incluye los cambios de la Parte 2; la interfaz HTTP de los controllers no cambia con esos ajustes.</w:t>
      </w:r>
    </w:p>
    <w:p>
      <w:pPr>
        <w:pStyle w:val="Heading1"/>
        <w:rPr/>
      </w:pPr>
      <w:bookmarkStart w:id="1" w:name="__RefHeading___Toc1168_106778696"/>
      <w:bookmarkEnd w:id="1"/>
      <w:r>
        <w:rPr/>
        <w:t>2. Entorno de ejecución</w:t>
      </w:r>
    </w:p>
    <w:p>
      <w:pPr>
        <w:pStyle w:val="Normal"/>
        <w:spacing w:lineRule="exact" w:line="264" w:before="0" w:after="120"/>
        <w:jc w:val="both"/>
        <w:rPr/>
      </w:pPr>
      <w:r>
        <w:rPr>
          <w:rFonts w:eastAsia="Times New Roman" w:cs="Times New Roman"/>
          <w:sz w:val="24"/>
          <w:szCs w:val="24"/>
        </w:rPr>
        <w:t xml:space="preserve">El sistema está compuesto por dos microservicios Spring Boot que aplican CQRS: </w:t>
      </w:r>
      <w:r>
        <w:rPr>
          <w:rFonts w:eastAsia="Times New Roman" w:cs="Times New Roman"/>
          <w:b/>
          <w:bCs/>
          <w:sz w:val="24"/>
          <w:szCs w:val="24"/>
        </w:rPr>
        <w:t>account.cmd</w:t>
      </w:r>
      <w:r>
        <w:rPr>
          <w:rFonts w:eastAsia="Times New Roman" w:cs="Times New Roman"/>
          <w:sz w:val="24"/>
          <w:szCs w:val="24"/>
        </w:rPr>
        <w:t xml:space="preserve"> (lado de escritura, puerto 5000), que valida los comandos en el agregado </w:t>
      </w:r>
      <w:r>
        <w:rPr>
          <w:rFonts w:eastAsia="Times New Roman" w:cs="Times New Roman"/>
          <w:i/>
          <w:iCs/>
          <w:sz w:val="24"/>
          <w:szCs w:val="24"/>
        </w:rPr>
        <w:t>AccountAggregate</w:t>
      </w:r>
      <w:r>
        <w:rPr>
          <w:rFonts w:eastAsia="Times New Roman" w:cs="Times New Roman"/>
          <w:sz w:val="24"/>
          <w:szCs w:val="24"/>
        </w:rPr>
        <w:t xml:space="preserve">, persiste los eventos en el event store (MongoDB) y los publica en Kafka; y </w:t>
      </w:r>
      <w:r>
        <w:rPr>
          <w:rFonts w:eastAsia="Times New Roman" w:cs="Times New Roman"/>
          <w:b/>
          <w:bCs/>
          <w:sz w:val="24"/>
          <w:szCs w:val="24"/>
        </w:rPr>
        <w:t>account.query</w:t>
      </w:r>
      <w:r>
        <w:rPr>
          <w:rFonts w:eastAsia="Times New Roman" w:cs="Times New Roman"/>
          <w:sz w:val="24"/>
          <w:szCs w:val="24"/>
        </w:rPr>
        <w:t xml:space="preserve"> (lado de lectura, puerto 5001), que consume los eventos de Kafka y mantiene el modelo de lectura en MySQL.</w:t>
      </w:r>
    </w:p>
    <w:p>
      <w:pPr>
        <w:pStyle w:val="Normal"/>
        <w:spacing w:lineRule="exact" w:line="264" w:before="0" w:after="120"/>
        <w:jc w:val="both"/>
        <w:rPr/>
      </w:pPr>
      <w:r>
        <w:rPr>
          <w:rFonts w:eastAsia="Times New Roman" w:cs="Times New Roman"/>
          <w:sz w:val="24"/>
          <w:szCs w:val="24"/>
        </w:rPr>
        <w:t xml:space="preserve">Para ejecutar todo de forma reproducible se agregó un </w:t>
      </w:r>
      <w:r>
        <w:rPr>
          <w:rFonts w:eastAsia="Times New Roman" w:cs="Times New Roman"/>
          <w:i/>
          <w:iCs/>
          <w:sz w:val="24"/>
          <w:szCs w:val="24"/>
        </w:rPr>
        <w:t>docker-compose.yml</w:t>
      </w:r>
      <w:r>
        <w:rPr>
          <w:rFonts w:eastAsia="Times New Roman" w:cs="Times New Roman"/>
          <w:sz w:val="24"/>
          <w:szCs w:val="24"/>
        </w:rPr>
        <w:t xml:space="preserve"> que levanta Zookeeper, Kafka, MongoDB y MySQL y construye ambos microservicios con un </w:t>
      </w:r>
      <w:r>
        <w:rPr>
          <w:rFonts w:eastAsia="Times New Roman" w:cs="Times New Roman"/>
          <w:i/>
          <w:iCs/>
          <w:sz w:val="24"/>
          <w:szCs w:val="24"/>
        </w:rPr>
        <w:t>Dockerfile</w:t>
      </w:r>
      <w:r>
        <w:rPr>
          <w:rFonts w:eastAsia="Times New Roman" w:cs="Times New Roman"/>
          <w:sz w:val="24"/>
          <w:szCs w:val="24"/>
        </w:rPr>
        <w:t xml:space="preserve"> multi-etapa. Las pruebas se ejecutaron en Windows con Docker Desktop mediante scripts de PowerShell que llaman cada endpoint con </w:t>
      </w:r>
      <w:r>
        <w:rPr>
          <w:rFonts w:eastAsia="Times New Roman" w:cs="Times New Roman"/>
          <w:i/>
          <w:iCs/>
          <w:sz w:val="24"/>
          <w:szCs w:val="24"/>
        </w:rPr>
        <w:t>curl.exe</w:t>
      </w:r>
      <w:r>
        <w:rPr>
          <w:rFonts w:eastAsia="Times New Roman" w:cs="Times New Roman"/>
          <w:sz w:val="24"/>
          <w:szCs w:val="24"/>
        </w:rPr>
        <w:t xml:space="preserve"> y guardan la solicitud, la respuesta y los logs; las capturas se generaron con Playwright a partir de esa evidencia.</w:t>
      </w:r>
    </w:p>
    <w:tbl>
      <w:tblPr>
        <w:tblW w:w="9360" w:type="dxa"/>
        <w:jc w:val="left"/>
        <w:tblInd w:w="0" w:type="dxa"/>
        <w:tblLayout w:type="fixed"/>
        <w:tblCellMar>
          <w:top w:w="50" w:type="dxa"/>
          <w:left w:w="90" w:type="dxa"/>
          <w:bottom w:w="50" w:type="dxa"/>
          <w:right w:w="90" w:type="dxa"/>
        </w:tblCellMar>
      </w:tblPr>
      <w:tblGrid>
        <w:gridCol w:w="1699"/>
        <w:gridCol w:w="3501"/>
        <w:gridCol w:w="1000"/>
        <w:gridCol w:w="3159"/>
      </w:tblGrid>
      <w:tr>
        <w:trPr>
          <w:tblHeader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Contenedor</w:t>
            </w:r>
          </w:p>
        </w:tc>
        <w:tc>
          <w:tcPr>
            <w:tcW w:w="35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Imagen</w:t>
            </w:r>
          </w:p>
        </w:tc>
        <w:tc>
          <w:tcPr>
            <w:tcW w:w="10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Puerto</w:t>
            </w:r>
          </w:p>
        </w:tc>
        <w:tc>
          <w:tcPr>
            <w:tcW w:w="315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Rol</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zookeeper</w:t>
            </w:r>
          </w:p>
        </w:tc>
        <w:tc>
          <w:tcPr>
            <w:tcW w:w="35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confluentinc/cp-zookeeper:7.6.1</w:t>
            </w:r>
          </w:p>
        </w:tc>
        <w:tc>
          <w:tcPr>
            <w:tcW w:w="10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2181</w:t>
            </w:r>
          </w:p>
        </w:tc>
        <w:tc>
          <w:tcPr>
            <w:tcW w:w="315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Coordinación de Kafka</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kafka</w:t>
            </w:r>
          </w:p>
        </w:tc>
        <w:tc>
          <w:tcPr>
            <w:tcW w:w="35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confluentinc/cp-kafka:7.6.1</w:t>
            </w:r>
          </w:p>
        </w:tc>
        <w:tc>
          <w:tcPr>
            <w:tcW w:w="10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29092</w:t>
            </w:r>
          </w:p>
        </w:tc>
        <w:tc>
          <w:tcPr>
            <w:tcW w:w="315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Bus de eventos</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mongo</w:t>
            </w:r>
          </w:p>
        </w:tc>
        <w:tc>
          <w:tcPr>
            <w:tcW w:w="35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mongo:4.4</w:t>
            </w:r>
          </w:p>
        </w:tc>
        <w:tc>
          <w:tcPr>
            <w:tcW w:w="10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27017</w:t>
            </w:r>
          </w:p>
        </w:tc>
        <w:tc>
          <w:tcPr>
            <w:tcW w:w="315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Event store (escritura)</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mysql</w:t>
            </w:r>
          </w:p>
        </w:tc>
        <w:tc>
          <w:tcPr>
            <w:tcW w:w="35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mysql:8.0</w:t>
            </w:r>
          </w:p>
        </w:tc>
        <w:tc>
          <w:tcPr>
            <w:tcW w:w="10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3306</w:t>
            </w:r>
          </w:p>
        </w:tc>
        <w:tc>
          <w:tcPr>
            <w:tcW w:w="315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Base de datos de lectura</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account-cmd</w:t>
            </w:r>
          </w:p>
        </w:tc>
        <w:tc>
          <w:tcPr>
            <w:tcW w:w="35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techbank/account-cmd</w:t>
            </w:r>
          </w:p>
        </w:tc>
        <w:tc>
          <w:tcPr>
            <w:tcW w:w="10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5000</w:t>
            </w:r>
          </w:p>
        </w:tc>
        <w:tc>
          <w:tcPr>
            <w:tcW w:w="315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Command API</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account-query</w:t>
            </w:r>
          </w:p>
        </w:tc>
        <w:tc>
          <w:tcPr>
            <w:tcW w:w="35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techbank/account-query</w:t>
            </w:r>
          </w:p>
        </w:tc>
        <w:tc>
          <w:tcPr>
            <w:tcW w:w="10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5001</w:t>
            </w:r>
          </w:p>
        </w:tc>
        <w:tc>
          <w:tcPr>
            <w:tcW w:w="315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Query API</w:t>
            </w:r>
          </w:p>
        </w:tc>
      </w:tr>
    </w:tbl>
    <w:p>
      <w:pPr>
        <w:pStyle w:val="Normal"/>
        <w:spacing w:before="0" w:after="80"/>
        <w:rPr/>
      </w:pPr>
      <w:r>
        <w:rPr/>
      </w:r>
    </w:p>
    <w:p>
      <w:pPr>
        <w:pStyle w:val="Normal"/>
        <w:keepNext w:val="true"/>
        <w:spacing w:before="60" w:after="40"/>
        <w:jc w:val="center"/>
        <w:rPr/>
      </w:pPr>
      <w:r>
        <w:rPr/>
        <w:drawing>
          <wp:inline distT="0" distB="0" distL="0" distR="0">
            <wp:extent cx="5943600" cy="1609725"/>
            <wp:effectExtent l="0" t="0" r="0" b="0"/>
            <wp:docPr id="1" name="p1-compose-ps" descr="Contenedores en ejecución (docker compose ps).&#10;Contenedores en ejecución (docker compose 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1-compose-ps" descr="Contenedores en ejecución (docker compose ps).&#10;Contenedores en ejecución (docker compose ps)."/>
                    <pic:cNvPicPr>
                      <a:picLocks noChangeAspect="1" noChangeArrowheads="1"/>
                    </pic:cNvPicPr>
                  </pic:nvPicPr>
                  <pic:blipFill>
                    <a:blip r:embed="rId3"/>
                    <a:stretch>
                      <a:fillRect/>
                    </a:stretch>
                  </pic:blipFill>
                  <pic:spPr bwMode="auto">
                    <a:xfrm>
                      <a:off x="0" y="0"/>
                      <a:ext cx="5943600" cy="160972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 </w:t>
      </w:r>
      <w:r>
        <w:rPr>
          <w:rFonts w:eastAsia="Times New Roman" w:cs="Times New Roman"/>
          <w:i/>
          <w:iCs/>
          <w:sz w:val="20"/>
          <w:szCs w:val="20"/>
        </w:rPr>
        <w:t>Contenedores en ejecución (docker compose ps).</w:t>
      </w:r>
    </w:p>
    <w:p>
      <w:pPr>
        <w:pStyle w:val="Normal"/>
        <w:spacing w:lineRule="exact" w:line="264" w:before="0" w:after="120"/>
        <w:jc w:val="both"/>
        <w:rPr/>
      </w:pPr>
      <w:r>
        <w:rPr>
          <w:rFonts w:eastAsia="Times New Roman" w:cs="Times New Roman"/>
          <w:b/>
          <w:bCs/>
          <w:sz w:val="24"/>
          <w:szCs w:val="24"/>
        </w:rPr>
        <w:t>Versión de Java.</w:t>
      </w:r>
      <w:r>
        <w:rPr>
          <w:rFonts w:eastAsia="Times New Roman" w:cs="Times New Roman"/>
          <w:sz w:val="24"/>
          <w:szCs w:val="24"/>
        </w:rPr>
        <w:t xml:space="preserve"> El proyecto usa Spring Boot 2.4.5, que trae Lombok 1.18.20, incompatible con JDK 17 o superior. Sin modificar los </w:t>
      </w:r>
      <w:r>
        <w:rPr>
          <w:rFonts w:eastAsia="Times New Roman" w:cs="Times New Roman"/>
          <w:i/>
          <w:iCs/>
          <w:sz w:val="24"/>
          <w:szCs w:val="24"/>
        </w:rPr>
        <w:t>pom.xml</w:t>
      </w:r>
      <w:r>
        <w:rPr>
          <w:rFonts w:eastAsia="Times New Roman" w:cs="Times New Roman"/>
          <w:sz w:val="24"/>
          <w:szCs w:val="24"/>
        </w:rPr>
        <w:t xml:space="preserve">, el </w:t>
      </w:r>
      <w:r>
        <w:rPr>
          <w:rFonts w:eastAsia="Times New Roman" w:cs="Times New Roman"/>
          <w:i/>
          <w:iCs/>
          <w:sz w:val="24"/>
          <w:szCs w:val="24"/>
        </w:rPr>
        <w:t>Dockerfile</w:t>
      </w:r>
      <w:r>
        <w:rPr>
          <w:rFonts w:eastAsia="Times New Roman" w:cs="Times New Roman"/>
          <w:sz w:val="24"/>
          <w:szCs w:val="24"/>
        </w:rPr>
        <w:t xml:space="preserve"> compila con JDK 17 (imagen oficial </w:t>
      </w:r>
      <w:r>
        <w:rPr>
          <w:rFonts w:eastAsia="Times New Roman" w:cs="Times New Roman"/>
          <w:i/>
          <w:iCs/>
          <w:sz w:val="24"/>
          <w:szCs w:val="24"/>
        </w:rPr>
        <w:t>eclipse-temurin</w:t>
      </w:r>
      <w:r>
        <w:rPr>
          <w:rFonts w:eastAsia="Times New Roman" w:cs="Times New Roman"/>
          <w:sz w:val="24"/>
          <w:szCs w:val="24"/>
        </w:rPr>
        <w:t>) y fuerza una versión reciente de Lombok solo en ese build (</w:t>
      </w:r>
      <w:r>
        <w:rPr>
          <w:rFonts w:eastAsia="Times New Roman" w:cs="Times New Roman"/>
          <w:i/>
          <w:iCs/>
          <w:sz w:val="24"/>
          <w:szCs w:val="24"/>
        </w:rPr>
        <w:t>-Dlombok.version=1.18.34</w:t>
      </w:r>
      <w:r>
        <w:rPr>
          <w:rFonts w:eastAsia="Times New Roman" w:cs="Times New Roman"/>
          <w:sz w:val="24"/>
          <w:szCs w:val="24"/>
        </w:rPr>
        <w:t>).</w:t>
      </w:r>
    </w:p>
    <w:p>
      <w:pPr>
        <w:pStyle w:val="Normal"/>
        <w:spacing w:lineRule="exact" w:line="264" w:before="0" w:after="120"/>
        <w:jc w:val="both"/>
        <w:rPr/>
      </w:pPr>
      <w:r>
        <w:rPr>
          <w:rFonts w:eastAsia="Times New Roman" w:cs="Times New Roman"/>
          <w:b/>
          <w:bCs/>
          <w:sz w:val="24"/>
          <w:szCs w:val="24"/>
        </w:rPr>
        <w:t>Horas.</w:t>
      </w:r>
      <w:r>
        <w:rPr>
          <w:rFonts w:eastAsia="Times New Roman" w:cs="Times New Roman"/>
          <w:sz w:val="24"/>
          <w:szCs w:val="24"/>
        </w:rPr>
        <w:t xml:space="preserve"> El campo “Ejecutado” de cada captura de respuesta está en hora local (Colombia, UTC-5); los logs de los contenedores están en UTC.</w:t>
      </w:r>
    </w:p>
    <w:p>
      <w:pPr>
        <w:pStyle w:val="Heading1"/>
        <w:rPr/>
      </w:pPr>
      <w:bookmarkStart w:id="2" w:name="__RefHeading___Toc1170_106778696"/>
      <w:bookmarkEnd w:id="2"/>
      <w:r>
        <w:rPr/>
        <w:t>3. Parte 1: Prueba de endpoints</w:t>
      </w:r>
    </w:p>
    <w:p>
      <w:pPr>
        <w:pStyle w:val="Normal"/>
        <w:spacing w:lineRule="exact" w:line="264" w:before="0" w:after="120"/>
        <w:jc w:val="both"/>
        <w:rPr/>
      </w:pPr>
      <w:r>
        <w:rPr>
          <w:rFonts w:eastAsia="Times New Roman" w:cs="Times New Roman"/>
          <w:sz w:val="24"/>
          <w:szCs w:val="24"/>
        </w:rPr>
        <w:t xml:space="preserve">Se ejecutó un flujo completo sobre dos cuentas: la cuenta </w:t>
      </w:r>
      <w:r>
        <w:rPr>
          <w:rFonts w:eastAsia="Times New Roman" w:cs="Times New Roman"/>
          <w:b/>
          <w:bCs/>
          <w:sz w:val="24"/>
          <w:szCs w:val="24"/>
        </w:rPr>
        <w:t>A</w:t>
      </w:r>
      <w:r>
        <w:rPr>
          <w:rFonts w:eastAsia="Times New Roman" w:cs="Times New Roman"/>
          <w:sz w:val="24"/>
          <w:szCs w:val="24"/>
        </w:rPr>
        <w:t xml:space="preserve"> (Juan Perez, SAVINGS, saldo inicial 1000) recibe un depósito, un retiro y finalmente se cierra; la cuenta </w:t>
      </w:r>
      <w:r>
        <w:rPr>
          <w:rFonts w:eastAsia="Times New Roman" w:cs="Times New Roman"/>
          <w:b/>
          <w:bCs/>
          <w:sz w:val="24"/>
          <w:szCs w:val="24"/>
        </w:rPr>
        <w:t>B</w:t>
      </w:r>
      <w:r>
        <w:rPr>
          <w:rFonts w:eastAsia="Times New Roman" w:cs="Times New Roman"/>
          <w:sz w:val="24"/>
          <w:szCs w:val="24"/>
        </w:rPr>
        <w:t xml:space="preserve"> (Maria Gomez, CURRENT, saldo inicial 5000) permanece activa para que las consultas tengan más de un resultado. Las consultas se hicieron antes de cerrar la cuenta A para ver ambas cuentas en el modelo de lectura.</w:t>
      </w:r>
    </w:p>
    <w:tbl>
      <w:tblPr>
        <w:tblW w:w="9360" w:type="dxa"/>
        <w:jc w:val="left"/>
        <w:tblInd w:w="0" w:type="dxa"/>
        <w:tblLayout w:type="fixed"/>
        <w:tblCellMar>
          <w:top w:w="50" w:type="dxa"/>
          <w:left w:w="90" w:type="dxa"/>
          <w:bottom w:w="50" w:type="dxa"/>
          <w:right w:w="90" w:type="dxa"/>
        </w:tblCellMar>
      </w:tblPr>
      <w:tblGrid>
        <w:gridCol w:w="499"/>
        <w:gridCol w:w="2300"/>
        <w:gridCol w:w="1001"/>
        <w:gridCol w:w="4460"/>
        <w:gridCol w:w="1100"/>
      </w:tblGrid>
      <w:tr>
        <w:trPr>
          <w:tblHeader w:val="true"/>
        </w:trPr>
        <w:tc>
          <w:tcPr>
            <w:tcW w:w="4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Controller</w:t>
            </w:r>
          </w:p>
        </w:tc>
        <w:tc>
          <w:tcPr>
            <w:tcW w:w="10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Método</w:t>
            </w:r>
          </w:p>
        </w:tc>
        <w:tc>
          <w:tcPr>
            <w:tcW w:w="44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Endpoint</w:t>
            </w:r>
          </w:p>
        </w:tc>
        <w:tc>
          <w:tcPr>
            <w:tcW w:w="11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HTTP</w:t>
            </w:r>
          </w:p>
        </w:tc>
      </w:tr>
      <w:tr>
        <w:trPr>
          <w:cantSplit w:val="true"/>
        </w:trPr>
        <w:tc>
          <w:tcPr>
            <w:tcW w:w="4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1</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OpenAccountController</w:t>
            </w:r>
          </w:p>
        </w:tc>
        <w:tc>
          <w:tcPr>
            <w:tcW w:w="10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POST</w:t>
            </w:r>
          </w:p>
        </w:tc>
        <w:tc>
          <w:tcPr>
            <w:tcW w:w="44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/api/v1/openBankAccount</w:t>
            </w:r>
          </w:p>
        </w:tc>
        <w:tc>
          <w:tcPr>
            <w:tcW w:w="11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201</w:t>
            </w:r>
          </w:p>
        </w:tc>
      </w:tr>
      <w:tr>
        <w:trPr>
          <w:cantSplit w:val="true"/>
        </w:trPr>
        <w:tc>
          <w:tcPr>
            <w:tcW w:w="4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DepositFundsController</w:t>
            </w:r>
          </w:p>
        </w:tc>
        <w:tc>
          <w:tcPr>
            <w:tcW w:w="10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PUT</w:t>
            </w:r>
          </w:p>
        </w:tc>
        <w:tc>
          <w:tcPr>
            <w:tcW w:w="44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/api/v1/depositFunds/{id}</w:t>
            </w:r>
          </w:p>
        </w:tc>
        <w:tc>
          <w:tcPr>
            <w:tcW w:w="11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200</w:t>
            </w:r>
          </w:p>
        </w:tc>
      </w:tr>
      <w:tr>
        <w:trPr>
          <w:cantSplit w:val="true"/>
        </w:trPr>
        <w:tc>
          <w:tcPr>
            <w:tcW w:w="4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3</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WithdrawFundsController</w:t>
            </w:r>
          </w:p>
        </w:tc>
        <w:tc>
          <w:tcPr>
            <w:tcW w:w="10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PUT</w:t>
            </w:r>
          </w:p>
        </w:tc>
        <w:tc>
          <w:tcPr>
            <w:tcW w:w="44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/api/v1/withdrawFunds/{id}</w:t>
            </w:r>
          </w:p>
        </w:tc>
        <w:tc>
          <w:tcPr>
            <w:tcW w:w="11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200 / 400</w:t>
            </w:r>
          </w:p>
        </w:tc>
      </w:tr>
      <w:tr>
        <w:trPr>
          <w:cantSplit w:val="true"/>
        </w:trPr>
        <w:tc>
          <w:tcPr>
            <w:tcW w:w="4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4</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CloseAccountController</w:t>
            </w:r>
          </w:p>
        </w:tc>
        <w:tc>
          <w:tcPr>
            <w:tcW w:w="10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DELETE</w:t>
            </w:r>
          </w:p>
        </w:tc>
        <w:tc>
          <w:tcPr>
            <w:tcW w:w="44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/api/v1/closeBankAccount/{id}</w:t>
            </w:r>
          </w:p>
        </w:tc>
        <w:tc>
          <w:tcPr>
            <w:tcW w:w="11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200</w:t>
            </w:r>
          </w:p>
        </w:tc>
      </w:tr>
      <w:tr>
        <w:trPr>
          <w:cantSplit w:val="true"/>
        </w:trPr>
        <w:tc>
          <w:tcPr>
            <w:tcW w:w="4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5a</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AccountLookupController</w:t>
            </w:r>
          </w:p>
        </w:tc>
        <w:tc>
          <w:tcPr>
            <w:tcW w:w="10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GET</w:t>
            </w:r>
          </w:p>
        </w:tc>
        <w:tc>
          <w:tcPr>
            <w:tcW w:w="44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/api/v1/bankAccountLookup/</w:t>
            </w:r>
          </w:p>
        </w:tc>
        <w:tc>
          <w:tcPr>
            <w:tcW w:w="11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200</w:t>
            </w:r>
          </w:p>
        </w:tc>
      </w:tr>
      <w:tr>
        <w:trPr>
          <w:cantSplit w:val="true"/>
        </w:trPr>
        <w:tc>
          <w:tcPr>
            <w:tcW w:w="4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5b</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AccountLookupController</w:t>
            </w:r>
          </w:p>
        </w:tc>
        <w:tc>
          <w:tcPr>
            <w:tcW w:w="10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GET</w:t>
            </w:r>
          </w:p>
        </w:tc>
        <w:tc>
          <w:tcPr>
            <w:tcW w:w="44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/api/v1/bankAccountLookup/byId/{id}</w:t>
            </w:r>
          </w:p>
        </w:tc>
        <w:tc>
          <w:tcPr>
            <w:tcW w:w="11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200 / 204</w:t>
            </w:r>
          </w:p>
        </w:tc>
      </w:tr>
      <w:tr>
        <w:trPr>
          <w:cantSplit w:val="true"/>
        </w:trPr>
        <w:tc>
          <w:tcPr>
            <w:tcW w:w="4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5c</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AccountLookupController</w:t>
            </w:r>
          </w:p>
        </w:tc>
        <w:tc>
          <w:tcPr>
            <w:tcW w:w="10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GET</w:t>
            </w:r>
          </w:p>
        </w:tc>
        <w:tc>
          <w:tcPr>
            <w:tcW w:w="44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/api/v1/bankAccountLookup/byHolder/{holder}</w:t>
            </w:r>
          </w:p>
        </w:tc>
        <w:tc>
          <w:tcPr>
            <w:tcW w:w="11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200</w:t>
            </w:r>
          </w:p>
        </w:tc>
      </w:tr>
      <w:tr>
        <w:trPr>
          <w:cantSplit w:val="true"/>
        </w:trPr>
        <w:tc>
          <w:tcPr>
            <w:tcW w:w="4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5d</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AccountLookupController</w:t>
            </w:r>
          </w:p>
        </w:tc>
        <w:tc>
          <w:tcPr>
            <w:tcW w:w="10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GET</w:t>
            </w:r>
          </w:p>
        </w:tc>
        <w:tc>
          <w:tcPr>
            <w:tcW w:w="44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/api/v1/bankAccountLookup/withBalance/{tipo}/{balance}</w:t>
            </w:r>
          </w:p>
        </w:tc>
        <w:tc>
          <w:tcPr>
            <w:tcW w:w="11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200</w:t>
            </w:r>
          </w:p>
        </w:tc>
      </w:tr>
      <w:tr>
        <w:trPr>
          <w:cantSplit w:val="true"/>
        </w:trPr>
        <w:tc>
          <w:tcPr>
            <w:tcW w:w="4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6</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RestoreReadDbController</w:t>
            </w:r>
          </w:p>
        </w:tc>
        <w:tc>
          <w:tcPr>
            <w:tcW w:w="10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POST</w:t>
            </w:r>
          </w:p>
        </w:tc>
        <w:tc>
          <w:tcPr>
            <w:tcW w:w="44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Consolas" w:cs="Consolas" w:ascii="Consolas" w:hAnsi="Consolas"/>
                <w:sz w:val="17"/>
                <w:szCs w:val="17"/>
              </w:rPr>
              <w:t>/api/v1/restoreReadDb</w:t>
            </w:r>
          </w:p>
        </w:tc>
        <w:tc>
          <w:tcPr>
            <w:tcW w:w="110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201</w:t>
            </w:r>
          </w:p>
        </w:tc>
      </w:tr>
    </w:tbl>
    <w:p>
      <w:pPr>
        <w:pStyle w:val="Normal"/>
        <w:spacing w:before="0" w:after="80"/>
        <w:rPr/>
      </w:pPr>
      <w:r>
        <w:rPr/>
      </w:r>
    </w:p>
    <w:p>
      <w:pPr>
        <w:pStyle w:val="Normal"/>
        <w:spacing w:lineRule="exact" w:line="264" w:before="0" w:after="120"/>
        <w:jc w:val="both"/>
        <w:rPr/>
      </w:pPr>
      <w:r>
        <w:rPr>
          <w:rFonts w:eastAsia="Times New Roman" w:cs="Times New Roman"/>
          <w:sz w:val="24"/>
          <w:szCs w:val="24"/>
        </w:rPr>
        <w:t xml:space="preserve">Los endpoints de comandos responden en </w:t>
      </w:r>
      <w:r>
        <w:rPr>
          <w:rFonts w:eastAsia="Times New Roman" w:cs="Times New Roman"/>
          <w:i/>
          <w:iCs/>
          <w:sz w:val="24"/>
          <w:szCs w:val="24"/>
        </w:rPr>
        <w:t>http://localhost:5000</w:t>
      </w:r>
      <w:r>
        <w:rPr>
          <w:rFonts w:eastAsia="Times New Roman" w:cs="Times New Roman"/>
          <w:sz w:val="24"/>
          <w:szCs w:val="24"/>
        </w:rPr>
        <w:t xml:space="preserve"> y los de consulta en </w:t>
      </w:r>
      <w:r>
        <w:rPr>
          <w:rFonts w:eastAsia="Times New Roman" w:cs="Times New Roman"/>
          <w:i/>
          <w:iCs/>
          <w:sz w:val="24"/>
          <w:szCs w:val="24"/>
        </w:rPr>
        <w:t>http://localhost:5001</w:t>
      </w:r>
      <w:r>
        <w:rPr>
          <w:rFonts w:eastAsia="Times New Roman" w:cs="Times New Roman"/>
          <w:sz w:val="24"/>
          <w:szCs w:val="24"/>
        </w:rPr>
        <w:t>.</w:t>
      </w:r>
    </w:p>
    <w:p>
      <w:pPr>
        <w:pStyle w:val="Heading2"/>
        <w:rPr/>
      </w:pPr>
      <w:bookmarkStart w:id="3" w:name="__RefHeading___Toc1172_106778696"/>
      <w:bookmarkEnd w:id="3"/>
      <w:r>
        <w:rPr/>
        <w:t>3.1 OpenAccountController: abrir cuenta</w:t>
      </w:r>
    </w:p>
    <w:tbl>
      <w:tblPr>
        <w:tblW w:w="9360" w:type="dxa"/>
        <w:jc w:val="left"/>
        <w:tblInd w:w="0" w:type="dxa"/>
        <w:tblLayout w:type="fixed"/>
        <w:tblCellMar>
          <w:top w:w="50" w:type="dxa"/>
          <w:left w:w="90" w:type="dxa"/>
          <w:bottom w:w="50" w:type="dxa"/>
          <w:right w:w="90" w:type="dxa"/>
        </w:tblCellMar>
      </w:tblPr>
      <w:tblGrid>
        <w:gridCol w:w="1500"/>
        <w:gridCol w:w="7859"/>
      </w:tblGrid>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Método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POST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URL</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http://localhost:5000/api/v1/openBankAccount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Cuerpo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{"accountHolder": "Juan Perez", "accountType": "SAVINGS", "openingBalance": 1000}</w:t>
            </w:r>
          </w:p>
        </w:tc>
      </w:tr>
    </w:tbl>
    <w:p>
      <w:pPr>
        <w:pStyle w:val="Normal"/>
        <w:spacing w:before="0" w:after="60"/>
        <w:rPr/>
      </w:pPr>
      <w:r>
        <w:rPr/>
      </w:r>
    </w:p>
    <w:p>
      <w:pPr>
        <w:pStyle w:val="Normal"/>
        <w:spacing w:lineRule="exact" w:line="264" w:before="0" w:after="120"/>
        <w:jc w:val="both"/>
        <w:rPr/>
      </w:pPr>
      <w:r>
        <w:rPr>
          <w:rFonts w:eastAsia="Times New Roman" w:cs="Times New Roman"/>
          <w:sz w:val="24"/>
          <w:szCs w:val="24"/>
        </w:rPr>
        <w:t xml:space="preserve">El controller genera un UUID, despacha un </w:t>
      </w:r>
      <w:r>
        <w:rPr>
          <w:rFonts w:eastAsia="Times New Roman" w:cs="Times New Roman"/>
          <w:i/>
          <w:iCs/>
          <w:sz w:val="24"/>
          <w:szCs w:val="24"/>
        </w:rPr>
        <w:t>OpenAccountCommand</w:t>
      </w:r>
      <w:r>
        <w:rPr>
          <w:rFonts w:eastAsia="Times New Roman" w:cs="Times New Roman"/>
          <w:sz w:val="24"/>
          <w:szCs w:val="24"/>
        </w:rPr>
        <w:t xml:space="preserve"> y responde </w:t>
      </w:r>
      <w:r>
        <w:rPr>
          <w:rFonts w:eastAsia="Times New Roman" w:cs="Times New Roman"/>
          <w:b/>
          <w:bCs/>
          <w:sz w:val="24"/>
          <w:szCs w:val="24"/>
        </w:rPr>
        <w:t>201 Created</w:t>
      </w:r>
      <w:r>
        <w:rPr>
          <w:rFonts w:eastAsia="Times New Roman" w:cs="Times New Roman"/>
          <w:sz w:val="24"/>
          <w:szCs w:val="24"/>
        </w:rPr>
        <w:t xml:space="preserve"> con el ID de la cuenta: </w:t>
      </w:r>
      <w:r>
        <w:rPr>
          <w:rFonts w:eastAsia="Times New Roman" w:cs="Times New Roman"/>
          <w:i/>
          <w:iCs/>
          <w:sz w:val="24"/>
          <w:szCs w:val="24"/>
        </w:rPr>
        <w:t>96ab93b2-ece5-4188-8a95-b46cac3fb1e1</w:t>
      </w:r>
      <w:r>
        <w:rPr>
          <w:rFonts w:eastAsia="Times New Roman" w:cs="Times New Roman"/>
          <w:sz w:val="24"/>
          <w:szCs w:val="24"/>
        </w:rPr>
        <w:t>. Este ID se usa en las operaciones siguientes sobre la cuenta A.</w:t>
      </w:r>
    </w:p>
    <w:p>
      <w:pPr>
        <w:pStyle w:val="Normal"/>
        <w:keepNext w:val="true"/>
        <w:spacing w:before="60" w:after="40"/>
        <w:jc w:val="center"/>
        <w:rPr/>
      </w:pPr>
      <w:r>
        <w:rPr/>
        <w:drawing>
          <wp:inline distT="0" distB="0" distL="0" distR="0">
            <wp:extent cx="4476750" cy="1895475"/>
            <wp:effectExtent l="0" t="0" r="0" b="0"/>
            <wp:docPr id="2" name="p1-01-open-account-A" descr="POST openBankAccount: cuenta A creada, con su ID en la respuesta.&#10;POST openBankAccount: cuenta A creada, con su ID en la res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1-01-open-account-A" descr="POST openBankAccount: cuenta A creada, con su ID en la respuesta.&#10;POST openBankAccount: cuenta A creada, con su ID en la respuesta."/>
                    <pic:cNvPicPr>
                      <a:picLocks noChangeAspect="1" noChangeArrowheads="1"/>
                    </pic:cNvPicPr>
                  </pic:nvPicPr>
                  <pic:blipFill>
                    <a:blip r:embed="rId4"/>
                    <a:stretch>
                      <a:fillRect/>
                    </a:stretch>
                  </pic:blipFill>
                  <pic:spPr bwMode="auto">
                    <a:xfrm>
                      <a:off x="0" y="0"/>
                      <a:ext cx="4476750" cy="18954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 </w:t>
      </w:r>
      <w:r>
        <w:rPr>
          <w:rFonts w:eastAsia="Times New Roman" w:cs="Times New Roman"/>
          <w:i/>
          <w:iCs/>
          <w:sz w:val="20"/>
          <w:szCs w:val="20"/>
        </w:rPr>
        <w:t>POST openBankAccount: cuenta A creada, con su ID en la respuesta.</w:t>
      </w:r>
    </w:p>
    <w:p>
      <w:pPr>
        <w:pStyle w:val="Normal"/>
        <w:spacing w:lineRule="exact" w:line="264" w:before="0" w:after="120"/>
        <w:jc w:val="both"/>
        <w:rPr/>
      </w:pPr>
      <w:r>
        <w:rPr>
          <w:rFonts w:eastAsia="Times New Roman" w:cs="Times New Roman"/>
          <w:sz w:val="24"/>
          <w:szCs w:val="24"/>
        </w:rPr>
        <w:t xml:space="preserve">Con el mismo endpoint se abrió la cuenta B (titular Maria Gomez, tipo CURRENT, saldo inicial 5000; el cuerpo se ve en la Figura 3), que obtuvo el ID </w:t>
      </w:r>
      <w:r>
        <w:rPr>
          <w:rFonts w:eastAsia="Times New Roman" w:cs="Times New Roman"/>
          <w:i/>
          <w:iCs/>
          <w:sz w:val="24"/>
          <w:szCs w:val="24"/>
        </w:rPr>
        <w:t>1e8a4ba8-56cb-4310-a093-1024c9567c9a</w:t>
      </w:r>
      <w:r>
        <w:rPr>
          <w:rFonts w:eastAsia="Times New Roman" w:cs="Times New Roman"/>
          <w:sz w:val="24"/>
          <w:szCs w:val="24"/>
        </w:rPr>
        <w:t>.</w:t>
      </w:r>
    </w:p>
    <w:p>
      <w:pPr>
        <w:pStyle w:val="Normal"/>
        <w:keepNext w:val="true"/>
        <w:spacing w:before="60" w:after="40"/>
        <w:jc w:val="center"/>
        <w:rPr/>
      </w:pPr>
      <w:r>
        <w:rPr/>
        <w:drawing>
          <wp:inline distT="0" distB="0" distL="0" distR="0">
            <wp:extent cx="4476750" cy="1895475"/>
            <wp:effectExtent l="0" t="0" r="0" b="0"/>
            <wp:docPr id="3" name="p1-02-open-account-B" descr="POST openBankAccount: cuenta B creada.&#10;POST openBankAccount: cuenta B cre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1-02-open-account-B" descr="POST openBankAccount: cuenta B creada.&#10;POST openBankAccount: cuenta B creada."/>
                    <pic:cNvPicPr>
                      <a:picLocks noChangeAspect="1" noChangeArrowheads="1"/>
                    </pic:cNvPicPr>
                  </pic:nvPicPr>
                  <pic:blipFill>
                    <a:blip r:embed="rId5"/>
                    <a:stretch>
                      <a:fillRect/>
                    </a:stretch>
                  </pic:blipFill>
                  <pic:spPr bwMode="auto">
                    <a:xfrm>
                      <a:off x="0" y="0"/>
                      <a:ext cx="4476750" cy="18954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3. </w:t>
      </w:r>
      <w:r>
        <w:rPr>
          <w:rFonts w:eastAsia="Times New Roman" w:cs="Times New Roman"/>
          <w:i/>
          <w:iCs/>
          <w:sz w:val="20"/>
          <w:szCs w:val="20"/>
        </w:rPr>
        <w:t>POST openBankAccount: cuenta B creada.</w:t>
      </w:r>
    </w:p>
    <w:p>
      <w:pPr>
        <w:pStyle w:val="Heading2"/>
        <w:rPr/>
      </w:pPr>
      <w:bookmarkStart w:id="4" w:name="__RefHeading___Toc1174_106778696"/>
      <w:bookmarkEnd w:id="4"/>
      <w:r>
        <w:rPr/>
        <w:t>3.2 DepositFundsController: depositar fondos</w:t>
      </w:r>
    </w:p>
    <w:tbl>
      <w:tblPr>
        <w:tblW w:w="9360" w:type="dxa"/>
        <w:jc w:val="left"/>
        <w:tblInd w:w="0" w:type="dxa"/>
        <w:tblLayout w:type="fixed"/>
        <w:tblCellMar>
          <w:top w:w="50" w:type="dxa"/>
          <w:left w:w="90" w:type="dxa"/>
          <w:bottom w:w="50" w:type="dxa"/>
          <w:right w:w="90" w:type="dxa"/>
        </w:tblCellMar>
      </w:tblPr>
      <w:tblGrid>
        <w:gridCol w:w="1500"/>
        <w:gridCol w:w="7859"/>
      </w:tblGrid>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Método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PUT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URL</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http://localhost:5000/api/v1/depositFunds/96ab93b2-ece5-4188-8a95-b46cac3fb1e1</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Cuerpo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{"amount": 500}</w:t>
            </w:r>
          </w:p>
        </w:tc>
      </w:tr>
    </w:tbl>
    <w:p>
      <w:pPr>
        <w:pStyle w:val="Normal"/>
        <w:spacing w:before="0" w:after="60"/>
        <w:rPr/>
      </w:pPr>
      <w:r>
        <w:rPr/>
      </w:r>
    </w:p>
    <w:p>
      <w:pPr>
        <w:pStyle w:val="Normal"/>
        <w:spacing w:lineRule="exact" w:line="264" w:before="0" w:after="120"/>
        <w:jc w:val="both"/>
        <w:rPr/>
      </w:pPr>
      <w:r>
        <w:rPr>
          <w:rFonts w:eastAsia="Times New Roman" w:cs="Times New Roman"/>
          <w:sz w:val="24"/>
          <w:szCs w:val="24"/>
        </w:rPr>
        <w:t xml:space="preserve">El agregado valida que la cuenta esté activa y que el monto sea positivo, y genera un </w:t>
      </w:r>
      <w:r>
        <w:rPr>
          <w:rFonts w:eastAsia="Times New Roman" w:cs="Times New Roman"/>
          <w:i/>
          <w:iCs/>
          <w:sz w:val="24"/>
          <w:szCs w:val="24"/>
        </w:rPr>
        <w:t>FundsDepositedEvent</w:t>
      </w:r>
      <w:r>
        <w:rPr>
          <w:rFonts w:eastAsia="Times New Roman" w:cs="Times New Roman"/>
          <w:sz w:val="24"/>
          <w:szCs w:val="24"/>
        </w:rPr>
        <w:t>. Saldo esperado de A: 1000 + 500 = 1500.</w:t>
      </w:r>
    </w:p>
    <w:p>
      <w:pPr>
        <w:pStyle w:val="Normal"/>
        <w:keepNext w:val="true"/>
        <w:spacing w:before="60" w:after="40"/>
        <w:jc w:val="center"/>
        <w:rPr/>
      </w:pPr>
      <w:r>
        <w:rPr/>
        <w:drawing>
          <wp:inline distT="0" distB="0" distL="0" distR="0">
            <wp:extent cx="4476750" cy="1638300"/>
            <wp:effectExtent l="0" t="0" r="0" b="0"/>
            <wp:docPr id="4" name="p1-03-deposit-A" descr="PUT depositFunds: depósito de 500 en la cuenta A.&#10;PUT depositFunds: depósito de 500 en la cuenta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1-03-deposit-A" descr="PUT depositFunds: depósito de 500 en la cuenta A.&#10;PUT depositFunds: depósito de 500 en la cuenta A."/>
                    <pic:cNvPicPr>
                      <a:picLocks noChangeAspect="1" noChangeArrowheads="1"/>
                    </pic:cNvPicPr>
                  </pic:nvPicPr>
                  <pic:blipFill>
                    <a:blip r:embed="rId6"/>
                    <a:stretch>
                      <a:fillRect/>
                    </a:stretch>
                  </pic:blipFill>
                  <pic:spPr bwMode="auto">
                    <a:xfrm>
                      <a:off x="0" y="0"/>
                      <a:ext cx="4476750" cy="1638300"/>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4. </w:t>
      </w:r>
      <w:r>
        <w:rPr>
          <w:rFonts w:eastAsia="Times New Roman" w:cs="Times New Roman"/>
          <w:i/>
          <w:iCs/>
          <w:sz w:val="20"/>
          <w:szCs w:val="20"/>
        </w:rPr>
        <w:t>PUT depositFunds: depósito de 500 en la cuenta A.</w:t>
      </w:r>
    </w:p>
    <w:p>
      <w:pPr>
        <w:pStyle w:val="Heading2"/>
        <w:rPr/>
      </w:pPr>
      <w:bookmarkStart w:id="5" w:name="__RefHeading___Toc1176_106778696"/>
      <w:bookmarkEnd w:id="5"/>
      <w:r>
        <w:rPr/>
        <w:t>3.3 WithdrawFundsController: retirar fondos</w:t>
      </w:r>
    </w:p>
    <w:tbl>
      <w:tblPr>
        <w:tblW w:w="9360" w:type="dxa"/>
        <w:jc w:val="left"/>
        <w:tblInd w:w="0" w:type="dxa"/>
        <w:tblLayout w:type="fixed"/>
        <w:tblCellMar>
          <w:top w:w="50" w:type="dxa"/>
          <w:left w:w="90" w:type="dxa"/>
          <w:bottom w:w="50" w:type="dxa"/>
          <w:right w:w="90" w:type="dxa"/>
        </w:tblCellMar>
      </w:tblPr>
      <w:tblGrid>
        <w:gridCol w:w="1500"/>
        <w:gridCol w:w="7859"/>
      </w:tblGrid>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Método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PUT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URL</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http://localhost:5000/api/v1/withdrawFunds/96ab93b2-ece5-4188-8a95-b46cac3fb1e1</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Cuerpo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{"amount": 200}</w:t>
            </w:r>
          </w:p>
        </w:tc>
      </w:tr>
    </w:tbl>
    <w:p>
      <w:pPr>
        <w:pStyle w:val="Normal"/>
        <w:spacing w:before="0" w:after="60"/>
        <w:rPr/>
      </w:pPr>
      <w:r>
        <w:rPr/>
      </w:r>
    </w:p>
    <w:p>
      <w:pPr>
        <w:pStyle w:val="Normal"/>
        <w:spacing w:lineRule="exact" w:line="264" w:before="0" w:after="120"/>
        <w:jc w:val="both"/>
        <w:rPr/>
      </w:pPr>
      <w:r>
        <w:rPr>
          <w:rFonts w:eastAsia="Times New Roman" w:cs="Times New Roman"/>
          <w:sz w:val="24"/>
          <w:szCs w:val="24"/>
        </w:rPr>
        <w:t xml:space="preserve">Genera un </w:t>
      </w:r>
      <w:r>
        <w:rPr>
          <w:rFonts w:eastAsia="Times New Roman" w:cs="Times New Roman"/>
          <w:i/>
          <w:iCs/>
          <w:sz w:val="24"/>
          <w:szCs w:val="24"/>
        </w:rPr>
        <w:t>FundsWithdrawnEvent</w:t>
      </w:r>
      <w:r>
        <w:rPr>
          <w:rFonts w:eastAsia="Times New Roman" w:cs="Times New Roman"/>
          <w:sz w:val="24"/>
          <w:szCs w:val="24"/>
        </w:rPr>
        <w:t>. Saldo esperado de A: 1500 − 200 = 1300.</w:t>
      </w:r>
    </w:p>
    <w:p>
      <w:pPr>
        <w:pStyle w:val="Normal"/>
        <w:keepNext w:val="true"/>
        <w:spacing w:before="60" w:after="40"/>
        <w:jc w:val="center"/>
        <w:rPr/>
      </w:pPr>
      <w:r>
        <w:rPr/>
        <w:drawing>
          <wp:inline distT="0" distB="0" distL="0" distR="0">
            <wp:extent cx="4476750" cy="1638300"/>
            <wp:effectExtent l="0" t="0" r="0" b="0"/>
            <wp:docPr id="5" name="p1-04-withdraw-A" descr="PUT withdrawFunds: retiro de 200 de la cuenta A.&#10;PUT withdrawFunds: retiro de 200 de la cuenta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1-04-withdraw-A" descr="PUT withdrawFunds: retiro de 200 de la cuenta A.&#10;PUT withdrawFunds: retiro de 200 de la cuenta A."/>
                    <pic:cNvPicPr>
                      <a:picLocks noChangeAspect="1" noChangeArrowheads="1"/>
                    </pic:cNvPicPr>
                  </pic:nvPicPr>
                  <pic:blipFill>
                    <a:blip r:embed="rId7"/>
                    <a:stretch>
                      <a:fillRect/>
                    </a:stretch>
                  </pic:blipFill>
                  <pic:spPr bwMode="auto">
                    <a:xfrm>
                      <a:off x="0" y="0"/>
                      <a:ext cx="4476750" cy="1638300"/>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5. </w:t>
      </w:r>
      <w:r>
        <w:rPr>
          <w:rFonts w:eastAsia="Times New Roman" w:cs="Times New Roman"/>
          <w:i/>
          <w:iCs/>
          <w:sz w:val="20"/>
          <w:szCs w:val="20"/>
        </w:rPr>
        <w:t>PUT withdrawFunds: retiro de 200 de la cuenta A.</w:t>
      </w:r>
    </w:p>
    <w:p>
      <w:pPr>
        <w:pStyle w:val="Normal"/>
        <w:spacing w:lineRule="exact" w:line="264" w:before="0" w:after="120"/>
        <w:jc w:val="both"/>
        <w:rPr/>
      </w:pPr>
      <w:r>
        <w:rPr>
          <w:rFonts w:eastAsia="Times New Roman" w:cs="Times New Roman"/>
          <w:sz w:val="24"/>
          <w:szCs w:val="24"/>
        </w:rPr>
        <w:t xml:space="preserve">También se probó la regla de fondos insuficientes: un retiro por 99999 es rechazado con </w:t>
      </w:r>
      <w:r>
        <w:rPr>
          <w:rFonts w:eastAsia="Times New Roman" w:cs="Times New Roman"/>
          <w:b/>
          <w:bCs/>
          <w:sz w:val="24"/>
          <w:szCs w:val="24"/>
        </w:rPr>
        <w:t>400 Bad Request</w:t>
      </w:r>
      <w:r>
        <w:rPr>
          <w:rFonts w:eastAsia="Times New Roman" w:cs="Times New Roman"/>
          <w:sz w:val="24"/>
          <w:szCs w:val="24"/>
        </w:rPr>
        <w:t xml:space="preserve"> y no genera ningún evento.</w:t>
      </w:r>
    </w:p>
    <w:p>
      <w:pPr>
        <w:pStyle w:val="Normal"/>
        <w:keepNext w:val="true"/>
        <w:spacing w:before="60" w:after="40"/>
        <w:jc w:val="center"/>
        <w:rPr/>
      </w:pPr>
      <w:r>
        <w:rPr/>
        <w:drawing>
          <wp:inline distT="0" distB="0" distL="0" distR="0">
            <wp:extent cx="4476750" cy="1638300"/>
            <wp:effectExtent l="0" t="0" r="0" b="0"/>
            <wp:docPr id="6" name="p1-05-withdraw-A-insufficient" descr="PUT withdrawFunds con monto mayor al saldo: rechazado con 400.&#10;PUT withdrawFunds con monto mayor al saldo: rechazado co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1-05-withdraw-A-insufficient" descr="PUT withdrawFunds con monto mayor al saldo: rechazado con 400.&#10;PUT withdrawFunds con monto mayor al saldo: rechazado con 400."/>
                    <pic:cNvPicPr>
                      <a:picLocks noChangeAspect="1" noChangeArrowheads="1"/>
                    </pic:cNvPicPr>
                  </pic:nvPicPr>
                  <pic:blipFill>
                    <a:blip r:embed="rId8"/>
                    <a:stretch>
                      <a:fillRect/>
                    </a:stretch>
                  </pic:blipFill>
                  <pic:spPr bwMode="auto">
                    <a:xfrm>
                      <a:off x="0" y="0"/>
                      <a:ext cx="4476750" cy="1638300"/>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6. </w:t>
      </w:r>
      <w:r>
        <w:rPr>
          <w:rFonts w:eastAsia="Times New Roman" w:cs="Times New Roman"/>
          <w:i/>
          <w:iCs/>
          <w:sz w:val="20"/>
          <w:szCs w:val="20"/>
        </w:rPr>
        <w:t>PUT withdrawFunds con monto mayor al saldo: rechazado con 400.</w:t>
      </w:r>
    </w:p>
    <w:p>
      <w:pPr>
        <w:pStyle w:val="Heading2"/>
        <w:rPr/>
      </w:pPr>
      <w:bookmarkStart w:id="6" w:name="__RefHeading___Toc1178_106778696"/>
      <w:bookmarkEnd w:id="6"/>
      <w:r>
        <w:rPr/>
        <w:t>3.4 AccountLookupController: consultas (GET)</w:t>
      </w:r>
    </w:p>
    <w:p>
      <w:pPr>
        <w:pStyle w:val="Normal"/>
        <w:spacing w:lineRule="exact" w:line="264" w:before="0" w:after="120"/>
        <w:jc w:val="both"/>
        <w:rPr/>
      </w:pPr>
      <w:r>
        <w:rPr>
          <w:rFonts w:eastAsia="Times New Roman" w:cs="Times New Roman"/>
          <w:sz w:val="24"/>
          <w:szCs w:val="24"/>
        </w:rPr>
        <w:t>Las consultas leen el modelo de lectura en MySQL, que se actualiza de forma asíncrona al consumir los eventos (consistencia eventual); por eso el script espera unos segundos después de los comandos antes de consultar. Ninguna consulta GET lleva cuerpo.</w:t>
      </w:r>
    </w:p>
    <w:p>
      <w:pPr>
        <w:pStyle w:val="Heading3"/>
        <w:rPr/>
      </w:pPr>
      <w:r>
        <w:rPr/>
        <w:t>a. Obtener todas las cuentas</w:t>
      </w:r>
    </w:p>
    <w:tbl>
      <w:tblPr>
        <w:tblW w:w="9360" w:type="dxa"/>
        <w:jc w:val="left"/>
        <w:tblInd w:w="0" w:type="dxa"/>
        <w:tblLayout w:type="fixed"/>
        <w:tblCellMar>
          <w:top w:w="50" w:type="dxa"/>
          <w:left w:w="90" w:type="dxa"/>
          <w:bottom w:w="50" w:type="dxa"/>
          <w:right w:w="90" w:type="dxa"/>
        </w:tblCellMar>
      </w:tblPr>
      <w:tblGrid>
        <w:gridCol w:w="1500"/>
        <w:gridCol w:w="7859"/>
      </w:tblGrid>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Método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GET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URL</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http://localhost:5001/api/v1/bankAccountLookup/</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Cuerpo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No aplica</w:t>
            </w:r>
          </w:p>
        </w:tc>
      </w:tr>
    </w:tbl>
    <w:p>
      <w:pPr>
        <w:pStyle w:val="Normal"/>
        <w:spacing w:before="0" w:after="60"/>
        <w:rPr/>
      </w:pPr>
      <w:r>
        <w:rPr/>
      </w:r>
    </w:p>
    <w:p>
      <w:pPr>
        <w:pStyle w:val="Normal"/>
        <w:spacing w:lineRule="exact" w:line="264" w:before="0" w:after="120"/>
        <w:jc w:val="both"/>
        <w:rPr/>
      </w:pPr>
      <w:r>
        <w:rPr>
          <w:rFonts w:eastAsia="Times New Roman" w:cs="Times New Roman"/>
          <w:sz w:val="24"/>
          <w:szCs w:val="24"/>
        </w:rPr>
        <w:t xml:space="preserve">Devuelve ambas cuentas. La cuenta A muestra </w:t>
      </w:r>
      <w:r>
        <w:rPr>
          <w:rFonts w:eastAsia="Times New Roman" w:cs="Times New Roman"/>
          <w:b/>
          <w:bCs/>
          <w:sz w:val="24"/>
          <w:szCs w:val="24"/>
        </w:rPr>
        <w:t>balance 1300.0</w:t>
      </w:r>
      <w:r>
        <w:rPr>
          <w:rFonts w:eastAsia="Times New Roman" w:cs="Times New Roman"/>
          <w:sz w:val="24"/>
          <w:szCs w:val="24"/>
        </w:rPr>
        <w:t>: el depósito y el retiro llegaron al modelo de lectura en el orden correcto.</w:t>
      </w:r>
    </w:p>
    <w:p>
      <w:pPr>
        <w:pStyle w:val="Normal"/>
        <w:keepNext w:val="true"/>
        <w:spacing w:before="60" w:after="40"/>
        <w:jc w:val="center"/>
        <w:rPr/>
      </w:pPr>
      <w:r>
        <w:rPr/>
        <w:drawing>
          <wp:inline distT="0" distB="0" distL="0" distR="0">
            <wp:extent cx="4476750" cy="2457450"/>
            <wp:effectExtent l="0" t="0" r="0" b="0"/>
            <wp:docPr id="7" name="p1-06-lookup-all" descr="GET bankAccountLookup/: todas las cuentas.&#10;GET bankAccountLookup/: todas las cu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1-06-lookup-all" descr="GET bankAccountLookup/: todas las cuentas.&#10;GET bankAccountLookup/: todas las cuentas."/>
                    <pic:cNvPicPr>
                      <a:picLocks noChangeAspect="1" noChangeArrowheads="1"/>
                    </pic:cNvPicPr>
                  </pic:nvPicPr>
                  <pic:blipFill>
                    <a:blip r:embed="rId9"/>
                    <a:stretch>
                      <a:fillRect/>
                    </a:stretch>
                  </pic:blipFill>
                  <pic:spPr bwMode="auto">
                    <a:xfrm>
                      <a:off x="0" y="0"/>
                      <a:ext cx="4476750" cy="2457450"/>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7. </w:t>
      </w:r>
      <w:r>
        <w:rPr>
          <w:rFonts w:eastAsia="Times New Roman" w:cs="Times New Roman"/>
          <w:i/>
          <w:iCs/>
          <w:sz w:val="20"/>
          <w:szCs w:val="20"/>
        </w:rPr>
        <w:t>GET bankAccountLookup/: todas las cuentas.</w:t>
      </w:r>
    </w:p>
    <w:p>
      <w:pPr>
        <w:pStyle w:val="Heading3"/>
        <w:rPr/>
      </w:pPr>
      <w:r>
        <w:rPr/>
        <w:t>b. Buscar cuenta por ID</w:t>
      </w:r>
    </w:p>
    <w:tbl>
      <w:tblPr>
        <w:tblW w:w="9360" w:type="dxa"/>
        <w:jc w:val="left"/>
        <w:tblInd w:w="0" w:type="dxa"/>
        <w:tblLayout w:type="fixed"/>
        <w:tblCellMar>
          <w:top w:w="50" w:type="dxa"/>
          <w:left w:w="90" w:type="dxa"/>
          <w:bottom w:w="50" w:type="dxa"/>
          <w:right w:w="90" w:type="dxa"/>
        </w:tblCellMar>
      </w:tblPr>
      <w:tblGrid>
        <w:gridCol w:w="1500"/>
        <w:gridCol w:w="7859"/>
      </w:tblGrid>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Método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GET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URL</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http://localhost:5001/api/v1/bankAccountLookup/byId/96ab93b2-ece5-4188-8a95-b46cac3fb1e1</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Cuerpo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No aplica</w:t>
            </w:r>
          </w:p>
        </w:tc>
      </w:tr>
    </w:tbl>
    <w:p>
      <w:pPr>
        <w:pStyle w:val="Normal"/>
        <w:spacing w:before="0" w:after="60"/>
        <w:rPr/>
      </w:pPr>
      <w:r>
        <w:rPr/>
      </w:r>
    </w:p>
    <w:p>
      <w:pPr>
        <w:pStyle w:val="Normal"/>
        <w:spacing w:lineRule="exact" w:line="264" w:before="0" w:after="120"/>
        <w:jc w:val="both"/>
        <w:rPr/>
      </w:pPr>
      <w:r>
        <w:rPr>
          <w:rFonts w:eastAsia="Times New Roman" w:cs="Times New Roman"/>
          <w:sz w:val="24"/>
          <w:szCs w:val="24"/>
        </w:rPr>
        <w:t>Devuelve únicamente la cuenta A.</w:t>
      </w:r>
    </w:p>
    <w:p>
      <w:pPr>
        <w:pStyle w:val="Normal"/>
        <w:keepNext w:val="true"/>
        <w:spacing w:before="60" w:after="40"/>
        <w:jc w:val="center"/>
        <w:rPr/>
      </w:pPr>
      <w:r>
        <w:rPr/>
        <w:drawing>
          <wp:inline distT="0" distB="0" distL="0" distR="0">
            <wp:extent cx="4476750" cy="1857375"/>
            <wp:effectExtent l="0" t="0" r="0" b="0"/>
            <wp:docPr id="8" name="p1-07-lookup-by-id" descr="GET byId: cuenta A por su ID.&#10;GET byId: cuenta A por su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1-07-lookup-by-id" descr="GET byId: cuenta A por su ID.&#10;GET byId: cuenta A por su ID."/>
                    <pic:cNvPicPr>
                      <a:picLocks noChangeAspect="1" noChangeArrowheads="1"/>
                    </pic:cNvPicPr>
                  </pic:nvPicPr>
                  <pic:blipFill>
                    <a:blip r:embed="rId10"/>
                    <a:stretch>
                      <a:fillRect/>
                    </a:stretch>
                  </pic:blipFill>
                  <pic:spPr bwMode="auto">
                    <a:xfrm>
                      <a:off x="0" y="0"/>
                      <a:ext cx="4476750" cy="18573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8. </w:t>
      </w:r>
      <w:r>
        <w:rPr>
          <w:rFonts w:eastAsia="Times New Roman" w:cs="Times New Roman"/>
          <w:i/>
          <w:iCs/>
          <w:sz w:val="20"/>
          <w:szCs w:val="20"/>
        </w:rPr>
        <w:t>GET byId: cuenta A por su ID.</w:t>
      </w:r>
    </w:p>
    <w:p>
      <w:pPr>
        <w:pStyle w:val="Heading3"/>
        <w:rPr/>
      </w:pPr>
      <w:r>
        <w:rPr/>
        <w:t>c. Buscar cuenta por titular</w:t>
      </w:r>
    </w:p>
    <w:tbl>
      <w:tblPr>
        <w:tblW w:w="9360" w:type="dxa"/>
        <w:jc w:val="left"/>
        <w:tblInd w:w="0" w:type="dxa"/>
        <w:tblLayout w:type="fixed"/>
        <w:tblCellMar>
          <w:top w:w="50" w:type="dxa"/>
          <w:left w:w="90" w:type="dxa"/>
          <w:bottom w:w="50" w:type="dxa"/>
          <w:right w:w="90" w:type="dxa"/>
        </w:tblCellMar>
      </w:tblPr>
      <w:tblGrid>
        <w:gridCol w:w="1500"/>
        <w:gridCol w:w="7859"/>
      </w:tblGrid>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Método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GET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URL</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http://localhost:5001/api/v1/bankAccountLookup/byHolder/Maria%20Gomez</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Cuerpo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No aplica</w:t>
            </w:r>
          </w:p>
        </w:tc>
      </w:tr>
    </w:tbl>
    <w:p>
      <w:pPr>
        <w:pStyle w:val="Normal"/>
        <w:spacing w:before="0" w:after="60"/>
        <w:rPr/>
      </w:pPr>
      <w:r>
        <w:rPr/>
      </w:r>
    </w:p>
    <w:p>
      <w:pPr>
        <w:pStyle w:val="Normal"/>
        <w:spacing w:lineRule="exact" w:line="264" w:before="0" w:after="120"/>
        <w:jc w:val="both"/>
        <w:rPr/>
      </w:pPr>
      <w:r>
        <w:rPr>
          <w:rFonts w:eastAsia="Times New Roman" w:cs="Times New Roman"/>
          <w:sz w:val="24"/>
          <w:szCs w:val="24"/>
        </w:rPr>
        <w:t>El nombre del titular va codificado en la URL (el espacio se envía como %20).</w:t>
      </w:r>
    </w:p>
    <w:p>
      <w:pPr>
        <w:pStyle w:val="Normal"/>
        <w:keepNext w:val="true"/>
        <w:spacing w:before="60" w:after="40"/>
        <w:jc w:val="center"/>
        <w:rPr/>
      </w:pPr>
      <w:r>
        <w:rPr/>
        <w:drawing>
          <wp:inline distT="0" distB="0" distL="0" distR="0">
            <wp:extent cx="4476750" cy="1857375"/>
            <wp:effectExtent l="0" t="0" r="0" b="0"/>
            <wp:docPr id="9" name="p1-08-lookup-by-holder" descr="GET byHolder: cuenta de Maria Gomez.&#10;GET byHolder: cuenta de Maria Gom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1-08-lookup-by-holder" descr="GET byHolder: cuenta de Maria Gomez.&#10;GET byHolder: cuenta de Maria Gomez."/>
                    <pic:cNvPicPr>
                      <a:picLocks noChangeAspect="1" noChangeArrowheads="1"/>
                    </pic:cNvPicPr>
                  </pic:nvPicPr>
                  <pic:blipFill>
                    <a:blip r:embed="rId11"/>
                    <a:stretch>
                      <a:fillRect/>
                    </a:stretch>
                  </pic:blipFill>
                  <pic:spPr bwMode="auto">
                    <a:xfrm>
                      <a:off x="0" y="0"/>
                      <a:ext cx="4476750" cy="18573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9. </w:t>
      </w:r>
      <w:r>
        <w:rPr>
          <w:rFonts w:eastAsia="Times New Roman" w:cs="Times New Roman"/>
          <w:i/>
          <w:iCs/>
          <w:sz w:val="20"/>
          <w:szCs w:val="20"/>
        </w:rPr>
        <w:t>GET byHolder: cuenta de Maria Gomez.</w:t>
      </w:r>
    </w:p>
    <w:p>
      <w:pPr>
        <w:pStyle w:val="Heading3"/>
        <w:rPr/>
      </w:pPr>
      <w:r>
        <w:rPr/>
        <w:t>d. Buscar cuentas con un balance específico</w:t>
      </w:r>
    </w:p>
    <w:p>
      <w:pPr>
        <w:pStyle w:val="Normal"/>
        <w:spacing w:lineRule="exact" w:line="264" w:before="0" w:after="120"/>
        <w:jc w:val="both"/>
        <w:rPr/>
      </w:pPr>
      <w:r>
        <w:rPr>
          <w:rFonts w:eastAsia="Times New Roman" w:cs="Times New Roman"/>
          <w:sz w:val="24"/>
          <w:szCs w:val="24"/>
        </w:rPr>
        <w:t xml:space="preserve">El enum </w:t>
      </w:r>
      <w:r>
        <w:rPr>
          <w:rFonts w:eastAsia="Times New Roman" w:cs="Times New Roman"/>
          <w:i/>
          <w:iCs/>
          <w:sz w:val="24"/>
          <w:szCs w:val="24"/>
        </w:rPr>
        <w:t>EqualityType</w:t>
      </w:r>
      <w:r>
        <w:rPr>
          <w:rFonts w:eastAsia="Times New Roman" w:cs="Times New Roman"/>
          <w:sz w:val="24"/>
          <w:szCs w:val="24"/>
        </w:rPr>
        <w:t xml:space="preserve"> del proyecto solo define </w:t>
      </w:r>
      <w:r>
        <w:rPr>
          <w:rFonts w:eastAsia="Times New Roman" w:cs="Times New Roman"/>
          <w:i/>
          <w:iCs/>
          <w:sz w:val="24"/>
          <w:szCs w:val="24"/>
        </w:rPr>
        <w:t>GREATER_THAN</w:t>
      </w:r>
      <w:r>
        <w:rPr>
          <w:rFonts w:eastAsia="Times New Roman" w:cs="Times New Roman"/>
          <w:sz w:val="24"/>
          <w:szCs w:val="24"/>
        </w:rPr>
        <w:t xml:space="preserve"> y </w:t>
      </w:r>
      <w:r>
        <w:rPr>
          <w:rFonts w:eastAsia="Times New Roman" w:cs="Times New Roman"/>
          <w:i/>
          <w:iCs/>
          <w:sz w:val="24"/>
          <w:szCs w:val="24"/>
        </w:rPr>
        <w:t>LESS_THAN</w:t>
      </w:r>
      <w:r>
        <w:rPr>
          <w:rFonts w:eastAsia="Times New Roman" w:cs="Times New Roman"/>
          <w:sz w:val="24"/>
          <w:szCs w:val="24"/>
        </w:rPr>
        <w:t xml:space="preserve"> (el README menciona </w:t>
      </w:r>
      <w:r>
        <w:rPr>
          <w:rFonts w:eastAsia="Times New Roman" w:cs="Times New Roman"/>
          <w:i/>
          <w:iCs/>
          <w:sz w:val="24"/>
          <w:szCs w:val="24"/>
        </w:rPr>
        <w:t>EQUAL_TO</w:t>
      </w:r>
      <w:r>
        <w:rPr>
          <w:rFonts w:eastAsia="Times New Roman" w:cs="Times New Roman"/>
          <w:sz w:val="24"/>
          <w:szCs w:val="24"/>
        </w:rPr>
        <w:t>, pero no está implementado), así que se probaron ambos valores con el umbral 2000.</w:t>
      </w:r>
    </w:p>
    <w:tbl>
      <w:tblPr>
        <w:tblW w:w="9360" w:type="dxa"/>
        <w:jc w:val="left"/>
        <w:tblInd w:w="0" w:type="dxa"/>
        <w:tblLayout w:type="fixed"/>
        <w:tblCellMar>
          <w:top w:w="50" w:type="dxa"/>
          <w:left w:w="90" w:type="dxa"/>
          <w:bottom w:w="50" w:type="dxa"/>
          <w:right w:w="90" w:type="dxa"/>
        </w:tblCellMar>
      </w:tblPr>
      <w:tblGrid>
        <w:gridCol w:w="1500"/>
        <w:gridCol w:w="7859"/>
      </w:tblGrid>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Método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GET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URL</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http://localhost:5001/api/v1/bankAccountLookup/withBalance/GREATER_THAN/2000</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Cuerpo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No aplica</w:t>
            </w:r>
          </w:p>
        </w:tc>
      </w:tr>
    </w:tbl>
    <w:p>
      <w:pPr>
        <w:pStyle w:val="Normal"/>
        <w:spacing w:before="0" w:after="60"/>
        <w:rPr/>
      </w:pPr>
      <w:r>
        <w:rPr/>
      </w:r>
    </w:p>
    <w:p>
      <w:pPr>
        <w:pStyle w:val="Normal"/>
        <w:spacing w:lineRule="exact" w:line="264" w:before="0" w:after="120"/>
        <w:jc w:val="both"/>
        <w:rPr/>
      </w:pPr>
      <w:r>
        <w:rPr>
          <w:rFonts w:eastAsia="Times New Roman" w:cs="Times New Roman"/>
          <w:sz w:val="24"/>
          <w:szCs w:val="24"/>
        </w:rPr>
        <w:t>Devuelve solo la cuenta B (5000 &gt; 2000).</w:t>
      </w:r>
    </w:p>
    <w:p>
      <w:pPr>
        <w:pStyle w:val="Normal"/>
        <w:keepNext w:val="true"/>
        <w:spacing w:before="60" w:after="40"/>
        <w:jc w:val="center"/>
        <w:rPr/>
      </w:pPr>
      <w:r>
        <w:rPr/>
        <w:drawing>
          <wp:inline distT="0" distB="0" distL="0" distR="0">
            <wp:extent cx="4476750" cy="1857375"/>
            <wp:effectExtent l="0" t="0" r="0" b="0"/>
            <wp:docPr id="10" name="p1-09-lookup-balance-gt" descr="GET withBalance/GREATER_THAN/2000.&#10;GET withBalance/GREATER_THAN/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1-09-lookup-balance-gt" descr="GET withBalance/GREATER_THAN/2000.&#10;GET withBalance/GREATER_THAN/2000."/>
                    <pic:cNvPicPr>
                      <a:picLocks noChangeAspect="1" noChangeArrowheads="1"/>
                    </pic:cNvPicPr>
                  </pic:nvPicPr>
                  <pic:blipFill>
                    <a:blip r:embed="rId12"/>
                    <a:stretch>
                      <a:fillRect/>
                    </a:stretch>
                  </pic:blipFill>
                  <pic:spPr bwMode="auto">
                    <a:xfrm>
                      <a:off x="0" y="0"/>
                      <a:ext cx="4476750" cy="18573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10. </w:t>
      </w:r>
      <w:r>
        <w:rPr>
          <w:rFonts w:eastAsia="Times New Roman" w:cs="Times New Roman"/>
          <w:i/>
          <w:iCs/>
          <w:sz w:val="20"/>
          <w:szCs w:val="20"/>
        </w:rPr>
        <w:t>GET withBalance/GREATER_THAN/2000.</w:t>
      </w:r>
    </w:p>
    <w:tbl>
      <w:tblPr>
        <w:tblW w:w="9360" w:type="dxa"/>
        <w:jc w:val="left"/>
        <w:tblInd w:w="0" w:type="dxa"/>
        <w:tblLayout w:type="fixed"/>
        <w:tblCellMar>
          <w:top w:w="50" w:type="dxa"/>
          <w:left w:w="90" w:type="dxa"/>
          <w:bottom w:w="50" w:type="dxa"/>
          <w:right w:w="90" w:type="dxa"/>
        </w:tblCellMar>
      </w:tblPr>
      <w:tblGrid>
        <w:gridCol w:w="1500"/>
        <w:gridCol w:w="7859"/>
      </w:tblGrid>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Método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GET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URL</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http://localhost:5001/api/v1/bankAccountLookup/withBalance/LESS_THAN/2000</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Cuerpo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No aplica</w:t>
            </w:r>
          </w:p>
        </w:tc>
      </w:tr>
    </w:tbl>
    <w:p>
      <w:pPr>
        <w:pStyle w:val="Normal"/>
        <w:spacing w:before="0" w:after="60"/>
        <w:rPr/>
      </w:pPr>
      <w:r>
        <w:rPr/>
      </w:r>
    </w:p>
    <w:p>
      <w:pPr>
        <w:pStyle w:val="Normal"/>
        <w:spacing w:lineRule="exact" w:line="264" w:before="0" w:after="120"/>
        <w:jc w:val="both"/>
        <w:rPr/>
      </w:pPr>
      <w:r>
        <w:rPr>
          <w:rFonts w:eastAsia="Times New Roman" w:cs="Times New Roman"/>
          <w:sz w:val="24"/>
          <w:szCs w:val="24"/>
        </w:rPr>
        <w:t>Devuelve solo la cuenta A (1300 &lt; 2000).</w:t>
      </w:r>
    </w:p>
    <w:p>
      <w:pPr>
        <w:pStyle w:val="Normal"/>
        <w:keepNext w:val="true"/>
        <w:spacing w:before="60" w:after="40"/>
        <w:jc w:val="center"/>
        <w:rPr/>
      </w:pPr>
      <w:r>
        <w:rPr/>
        <w:drawing>
          <wp:inline distT="0" distB="0" distL="0" distR="0">
            <wp:extent cx="4476750" cy="1857375"/>
            <wp:effectExtent l="0" t="0" r="0" b="0"/>
            <wp:docPr id="11" name="p1-10-lookup-balance-lt" descr="GET withBalance/LESS_THAN/2000.&#10;GET withBalance/LESS_THAN/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1-10-lookup-balance-lt" descr="GET withBalance/LESS_THAN/2000.&#10;GET withBalance/LESS_THAN/2000."/>
                    <pic:cNvPicPr>
                      <a:picLocks noChangeAspect="1" noChangeArrowheads="1"/>
                    </pic:cNvPicPr>
                  </pic:nvPicPr>
                  <pic:blipFill>
                    <a:blip r:embed="rId13"/>
                    <a:stretch>
                      <a:fillRect/>
                    </a:stretch>
                  </pic:blipFill>
                  <pic:spPr bwMode="auto">
                    <a:xfrm>
                      <a:off x="0" y="0"/>
                      <a:ext cx="4476750" cy="18573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11. </w:t>
      </w:r>
      <w:r>
        <w:rPr>
          <w:rFonts w:eastAsia="Times New Roman" w:cs="Times New Roman"/>
          <w:i/>
          <w:iCs/>
          <w:sz w:val="20"/>
          <w:szCs w:val="20"/>
        </w:rPr>
        <w:t>GET withBalance/LESS_THAN/2000.</w:t>
      </w:r>
    </w:p>
    <w:p>
      <w:pPr>
        <w:pStyle w:val="Heading2"/>
        <w:rPr/>
      </w:pPr>
      <w:bookmarkStart w:id="7" w:name="__RefHeading___Toc1180_106778696"/>
      <w:bookmarkEnd w:id="7"/>
      <w:r>
        <w:rPr/>
        <w:t>3.5 CloseAccountController: cerrar cuenta</w:t>
      </w:r>
    </w:p>
    <w:tbl>
      <w:tblPr>
        <w:tblW w:w="9360" w:type="dxa"/>
        <w:jc w:val="left"/>
        <w:tblInd w:w="0" w:type="dxa"/>
        <w:tblLayout w:type="fixed"/>
        <w:tblCellMar>
          <w:top w:w="50" w:type="dxa"/>
          <w:left w:w="90" w:type="dxa"/>
          <w:bottom w:w="50" w:type="dxa"/>
          <w:right w:w="90" w:type="dxa"/>
        </w:tblCellMar>
      </w:tblPr>
      <w:tblGrid>
        <w:gridCol w:w="1500"/>
        <w:gridCol w:w="7859"/>
      </w:tblGrid>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Método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DELETE</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URL</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http://localhost:5000/api/v1/closeBankAccount/96ab93b2-ece5-4188-8a95-b46cac3fb1e1</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Cuerpo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No aplica</w:t>
            </w:r>
          </w:p>
        </w:tc>
      </w:tr>
    </w:tbl>
    <w:p>
      <w:pPr>
        <w:pStyle w:val="Normal"/>
        <w:spacing w:before="0" w:after="60"/>
        <w:rPr/>
      </w:pPr>
      <w:r>
        <w:rPr/>
      </w:r>
    </w:p>
    <w:p>
      <w:pPr>
        <w:pStyle w:val="Normal"/>
        <w:spacing w:lineRule="exact" w:line="264" w:before="0" w:after="120"/>
        <w:jc w:val="both"/>
        <w:rPr/>
      </w:pPr>
      <w:r>
        <w:rPr>
          <w:rFonts w:eastAsia="Times New Roman" w:cs="Times New Roman"/>
          <w:sz w:val="24"/>
          <w:szCs w:val="24"/>
        </w:rPr>
        <w:t xml:space="preserve">Genera un </w:t>
      </w:r>
      <w:r>
        <w:rPr>
          <w:rFonts w:eastAsia="Times New Roman" w:cs="Times New Roman"/>
          <w:i/>
          <w:iCs/>
          <w:sz w:val="24"/>
          <w:szCs w:val="24"/>
        </w:rPr>
        <w:t>AccountClosedEvent</w:t>
      </w:r>
      <w:r>
        <w:rPr>
          <w:rFonts w:eastAsia="Times New Roman" w:cs="Times New Roman"/>
          <w:sz w:val="24"/>
          <w:szCs w:val="24"/>
        </w:rPr>
        <w:t>; al consumirlo, el lado de lectura elimina la cuenta del modelo de lectura.</w:t>
      </w:r>
    </w:p>
    <w:p>
      <w:pPr>
        <w:pStyle w:val="Normal"/>
        <w:keepNext w:val="true"/>
        <w:spacing w:before="60" w:after="40"/>
        <w:jc w:val="center"/>
        <w:rPr/>
      </w:pPr>
      <w:r>
        <w:rPr/>
        <w:drawing>
          <wp:inline distT="0" distB="0" distL="0" distR="0">
            <wp:extent cx="4476750" cy="1076325"/>
            <wp:effectExtent l="0" t="0" r="0" b="0"/>
            <wp:docPr id="12" name="p1-11-close-A" descr="DELETE closeBankAccount: cierre de la cuenta A.&#10;DELETE closeBankAccount: cierre de la cuenta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1-11-close-A" descr="DELETE closeBankAccount: cierre de la cuenta A.&#10;DELETE closeBankAccount: cierre de la cuenta A."/>
                    <pic:cNvPicPr>
                      <a:picLocks noChangeAspect="1" noChangeArrowheads="1"/>
                    </pic:cNvPicPr>
                  </pic:nvPicPr>
                  <pic:blipFill>
                    <a:blip r:embed="rId14"/>
                    <a:stretch>
                      <a:fillRect/>
                    </a:stretch>
                  </pic:blipFill>
                  <pic:spPr bwMode="auto">
                    <a:xfrm>
                      <a:off x="0" y="0"/>
                      <a:ext cx="4476750" cy="107632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12. </w:t>
      </w:r>
      <w:r>
        <w:rPr>
          <w:rFonts w:eastAsia="Times New Roman" w:cs="Times New Roman"/>
          <w:i/>
          <w:iCs/>
          <w:sz w:val="20"/>
          <w:szCs w:val="20"/>
        </w:rPr>
        <w:t>DELETE closeBankAccount: cierre de la cuenta A.</w:t>
      </w:r>
    </w:p>
    <w:p>
      <w:pPr>
        <w:pStyle w:val="Normal"/>
        <w:spacing w:lineRule="exact" w:line="264" w:before="0" w:after="120"/>
        <w:jc w:val="both"/>
        <w:rPr/>
      </w:pPr>
      <w:r>
        <w:rPr>
          <w:rFonts w:eastAsia="Times New Roman" w:cs="Times New Roman"/>
          <w:sz w:val="24"/>
          <w:szCs w:val="24"/>
        </w:rPr>
        <w:t xml:space="preserve">Verificación: al buscar la cuenta A por ID después del cierre, el servicio responde </w:t>
      </w:r>
      <w:r>
        <w:rPr>
          <w:rFonts w:eastAsia="Times New Roman" w:cs="Times New Roman"/>
          <w:b/>
          <w:bCs/>
          <w:sz w:val="24"/>
          <w:szCs w:val="24"/>
        </w:rPr>
        <w:t>204 No Content</w:t>
      </w:r>
      <w:r>
        <w:rPr>
          <w:rFonts w:eastAsia="Times New Roman" w:cs="Times New Roman"/>
          <w:sz w:val="24"/>
          <w:szCs w:val="24"/>
        </w:rPr>
        <w:t>, y el listado completo ya solo contiene la cuenta B.</w:t>
      </w:r>
    </w:p>
    <w:p>
      <w:pPr>
        <w:pStyle w:val="Normal"/>
        <w:keepNext w:val="true"/>
        <w:spacing w:before="60" w:after="40"/>
        <w:jc w:val="center"/>
        <w:rPr/>
      </w:pPr>
      <w:r>
        <w:rPr/>
        <w:drawing>
          <wp:inline distT="0" distB="0" distL="0" distR="0">
            <wp:extent cx="4476750" cy="904875"/>
            <wp:effectExtent l="0" t="0" r="0" b="0"/>
            <wp:docPr id="13" name="p1-12-lookup-by-id-after-close" descr="GET byId de la cuenta A después del cierre: 204 No Content.&#10;GET byId de la cuenta A después del cierre: 204 No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1-12-lookup-by-id-after-close" descr="GET byId de la cuenta A después del cierre: 204 No Content.&#10;GET byId de la cuenta A después del cierre: 204 No Content."/>
                    <pic:cNvPicPr>
                      <a:picLocks noChangeAspect="1" noChangeArrowheads="1"/>
                    </pic:cNvPicPr>
                  </pic:nvPicPr>
                  <pic:blipFill>
                    <a:blip r:embed="rId15"/>
                    <a:stretch>
                      <a:fillRect/>
                    </a:stretch>
                  </pic:blipFill>
                  <pic:spPr bwMode="auto">
                    <a:xfrm>
                      <a:off x="0" y="0"/>
                      <a:ext cx="4476750" cy="9048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13. </w:t>
      </w:r>
      <w:r>
        <w:rPr>
          <w:rFonts w:eastAsia="Times New Roman" w:cs="Times New Roman"/>
          <w:i/>
          <w:iCs/>
          <w:sz w:val="20"/>
          <w:szCs w:val="20"/>
        </w:rPr>
        <w:t>GET byId de la cuenta A después del cierre: 204 No Content.</w:t>
      </w:r>
    </w:p>
    <w:p>
      <w:pPr>
        <w:pStyle w:val="Normal"/>
        <w:keepNext w:val="true"/>
        <w:spacing w:before="60" w:after="40"/>
        <w:jc w:val="center"/>
        <w:rPr/>
      </w:pPr>
      <w:r>
        <w:rPr/>
        <w:drawing>
          <wp:inline distT="0" distB="0" distL="0" distR="0">
            <wp:extent cx="4476750" cy="1857375"/>
            <wp:effectExtent l="0" t="0" r="0" b="0"/>
            <wp:docPr id="14" name="p1-13-lookup-all-after-close" descr="GET de todas las cuentas después del cierre: solo queda la cuenta B.&#10;GET de todas las cuentas después del cierre: solo queda la cuenta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1-13-lookup-all-after-close" descr="GET de todas las cuentas después del cierre: solo queda la cuenta B.&#10;GET de todas las cuentas después del cierre: solo queda la cuenta B."/>
                    <pic:cNvPicPr>
                      <a:picLocks noChangeAspect="1" noChangeArrowheads="1"/>
                    </pic:cNvPicPr>
                  </pic:nvPicPr>
                  <pic:blipFill>
                    <a:blip r:embed="rId16"/>
                    <a:stretch>
                      <a:fillRect/>
                    </a:stretch>
                  </pic:blipFill>
                  <pic:spPr bwMode="auto">
                    <a:xfrm>
                      <a:off x="0" y="0"/>
                      <a:ext cx="4476750" cy="18573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14. </w:t>
      </w:r>
      <w:r>
        <w:rPr>
          <w:rFonts w:eastAsia="Times New Roman" w:cs="Times New Roman"/>
          <w:i/>
          <w:iCs/>
          <w:sz w:val="20"/>
          <w:szCs w:val="20"/>
        </w:rPr>
        <w:t>GET de todas las cuentas después del cierre: solo queda la cuenta B.</w:t>
      </w:r>
    </w:p>
    <w:p>
      <w:pPr>
        <w:pStyle w:val="Heading2"/>
        <w:rPr/>
      </w:pPr>
      <w:bookmarkStart w:id="8" w:name="__RefHeading___Toc1182_106778696"/>
      <w:bookmarkEnd w:id="8"/>
      <w:r>
        <w:rPr/>
        <w:t>3.6 RestoreReadDbController: restaurar la base de datos de lectura</w:t>
      </w:r>
    </w:p>
    <w:tbl>
      <w:tblPr>
        <w:tblW w:w="9360" w:type="dxa"/>
        <w:jc w:val="left"/>
        <w:tblInd w:w="0" w:type="dxa"/>
        <w:tblLayout w:type="fixed"/>
        <w:tblCellMar>
          <w:top w:w="50" w:type="dxa"/>
          <w:left w:w="90" w:type="dxa"/>
          <w:bottom w:w="50" w:type="dxa"/>
          <w:right w:w="90" w:type="dxa"/>
        </w:tblCellMar>
      </w:tblPr>
      <w:tblGrid>
        <w:gridCol w:w="1500"/>
        <w:gridCol w:w="7859"/>
      </w:tblGrid>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Método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POST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URL</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Consolas" w:cs="Consolas" w:ascii="Consolas" w:hAnsi="Consolas"/>
                <w:sz w:val="17"/>
                <w:szCs w:val="17"/>
              </w:rPr>
              <w:t>http://localhost:5000/api/v1/restoreReadDb</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b/>
                <w:bCs/>
                <w:sz w:val="20"/>
                <w:szCs w:val="20"/>
              </w:rPr>
              <w:t>Cuerpo</w:t>
            </w:r>
          </w:p>
        </w:tc>
        <w:tc>
          <w:tcPr>
            <w:tcW w:w="7859" w:type="dxa"/>
            <w:tcBorders>
              <w:top w:val="single" w:sz="4" w:space="0" w:color="000000"/>
              <w:left w:val="single" w:sz="4" w:space="0" w:color="000000"/>
              <w:bottom w:val="single" w:sz="4" w:space="0" w:color="000000"/>
              <w:right w:val="single" w:sz="4" w:space="0" w:color="000000"/>
            </w:tcBorders>
          </w:tcPr>
          <w:p>
            <w:pPr>
              <w:pStyle w:val="Normal"/>
              <w:keepNext w:val="true"/>
              <w:keepLines/>
              <w:rPr/>
            </w:pPr>
            <w:r>
              <w:rPr>
                <w:rFonts w:eastAsia="Times New Roman" w:cs="Times New Roman"/>
                <w:sz w:val="20"/>
                <w:szCs w:val="20"/>
              </w:rPr>
              <w:t>No aplica</w:t>
            </w:r>
          </w:p>
        </w:tc>
      </w:tr>
    </w:tbl>
    <w:p>
      <w:pPr>
        <w:pStyle w:val="Normal"/>
        <w:spacing w:before="0" w:after="60"/>
        <w:rPr/>
      </w:pPr>
      <w:r>
        <w:rPr/>
      </w:r>
    </w:p>
    <w:p>
      <w:pPr>
        <w:pStyle w:val="Normal"/>
        <w:spacing w:lineRule="exact" w:line="264" w:before="0" w:after="120"/>
        <w:jc w:val="both"/>
        <w:rPr/>
      </w:pPr>
      <w:r>
        <w:rPr>
          <w:rFonts w:eastAsia="Times New Roman" w:cs="Times New Roman"/>
          <w:sz w:val="24"/>
          <w:szCs w:val="24"/>
        </w:rPr>
        <w:t xml:space="preserve">Despacha un </w:t>
      </w:r>
      <w:r>
        <w:rPr>
          <w:rFonts w:eastAsia="Times New Roman" w:cs="Times New Roman"/>
          <w:i/>
          <w:iCs/>
          <w:sz w:val="24"/>
          <w:szCs w:val="24"/>
        </w:rPr>
        <w:t>RestoreReadDbCommand</w:t>
      </w:r>
      <w:r>
        <w:rPr>
          <w:rFonts w:eastAsia="Times New Roman" w:cs="Times New Roman"/>
          <w:sz w:val="24"/>
          <w:szCs w:val="24"/>
        </w:rPr>
        <w:t xml:space="preserve">: </w:t>
      </w:r>
      <w:r>
        <w:rPr>
          <w:rFonts w:eastAsia="Times New Roman" w:cs="Times New Roman"/>
          <w:i/>
          <w:iCs/>
          <w:sz w:val="24"/>
          <w:szCs w:val="24"/>
        </w:rPr>
        <w:t>AccountEventSourcingHandler.republishEvents()</w:t>
      </w:r>
      <w:r>
        <w:rPr>
          <w:rFonts w:eastAsia="Times New Roman" w:cs="Times New Roman"/>
          <w:sz w:val="24"/>
          <w:szCs w:val="24"/>
        </w:rPr>
        <w:t xml:space="preserve"> lee el event store (MongoDB) y vuelve a publicar en Kafka todos los eventos de las cuentas </w:t>
      </w:r>
      <w:r>
        <w:rPr>
          <w:rFonts w:eastAsia="Times New Roman" w:cs="Times New Roman"/>
          <w:b/>
          <w:bCs/>
          <w:sz w:val="24"/>
          <w:szCs w:val="24"/>
        </w:rPr>
        <w:t>activas</w:t>
      </w:r>
      <w:r>
        <w:rPr>
          <w:rFonts w:eastAsia="Times New Roman" w:cs="Times New Roman"/>
          <w:sz w:val="24"/>
          <w:szCs w:val="24"/>
        </w:rPr>
        <w:t xml:space="preserve">, para que el lado de lectura reconstruya su estado. Las cuentas cerradas se omiten, por eso solo se republicó el </w:t>
      </w:r>
      <w:r>
        <w:rPr>
          <w:rFonts w:eastAsia="Times New Roman" w:cs="Times New Roman"/>
          <w:i/>
          <w:iCs/>
          <w:sz w:val="24"/>
          <w:szCs w:val="24"/>
        </w:rPr>
        <w:t>AccountOpenedEvent</w:t>
      </w:r>
      <w:r>
        <w:rPr>
          <w:rFonts w:eastAsia="Times New Roman" w:cs="Times New Roman"/>
          <w:sz w:val="24"/>
          <w:szCs w:val="24"/>
        </w:rPr>
        <w:t xml:space="preserve"> de la cuenta B (offset 5 del topic, visible en la Figura 22).</w:t>
      </w:r>
    </w:p>
    <w:p>
      <w:pPr>
        <w:pStyle w:val="Normal"/>
        <w:keepNext w:val="true"/>
        <w:spacing w:before="60" w:after="40"/>
        <w:jc w:val="center"/>
        <w:rPr/>
      </w:pPr>
      <w:r>
        <w:rPr/>
        <w:drawing>
          <wp:inline distT="0" distB="0" distL="0" distR="0">
            <wp:extent cx="4476750" cy="1076325"/>
            <wp:effectExtent l="0" t="0" r="0" b="0"/>
            <wp:docPr id="15" name="p1-14-restore-read-db" descr="POST restoreReadDb: 201 Created.&#10;POST restoreReadDb: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1-14-restore-read-db" descr="POST restoreReadDb: 201 Created.&#10;POST restoreReadDb: 201 Created."/>
                    <pic:cNvPicPr>
                      <a:picLocks noChangeAspect="1" noChangeArrowheads="1"/>
                    </pic:cNvPicPr>
                  </pic:nvPicPr>
                  <pic:blipFill>
                    <a:blip r:embed="rId17"/>
                    <a:stretch>
                      <a:fillRect/>
                    </a:stretch>
                  </pic:blipFill>
                  <pic:spPr bwMode="auto">
                    <a:xfrm>
                      <a:off x="0" y="0"/>
                      <a:ext cx="4476750" cy="107632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15. </w:t>
      </w:r>
      <w:r>
        <w:rPr>
          <w:rFonts w:eastAsia="Times New Roman" w:cs="Times New Roman"/>
          <w:i/>
          <w:iCs/>
          <w:sz w:val="20"/>
          <w:szCs w:val="20"/>
        </w:rPr>
        <w:t>POST restoreReadDb: 201 Created.</w:t>
      </w:r>
    </w:p>
    <w:p>
      <w:pPr>
        <w:pStyle w:val="Normal"/>
        <w:keepNext w:val="true"/>
        <w:spacing w:before="60" w:after="40"/>
        <w:jc w:val="center"/>
        <w:rPr/>
      </w:pPr>
      <w:r>
        <w:rPr/>
        <w:drawing>
          <wp:inline distT="0" distB="0" distL="0" distR="0">
            <wp:extent cx="4476750" cy="1857375"/>
            <wp:effectExtent l="0" t="0" r="0" b="0"/>
            <wp:docPr id="16" name="p1-15-lookup-all-after-restore" descr="GET de todas las cuentas después del restore: el modelo de lectura sigue consistente.&#10;GET de todas las cuentas después del restore: el modelo de lectura sigue cons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1-15-lookup-all-after-restore" descr="GET de todas las cuentas después del restore: el modelo de lectura sigue consistente.&#10;GET de todas las cuentas después del restore: el modelo de lectura sigue consistente."/>
                    <pic:cNvPicPr>
                      <a:picLocks noChangeAspect="1" noChangeArrowheads="1"/>
                    </pic:cNvPicPr>
                  </pic:nvPicPr>
                  <pic:blipFill>
                    <a:blip r:embed="rId18"/>
                    <a:stretch>
                      <a:fillRect/>
                    </a:stretch>
                  </pic:blipFill>
                  <pic:spPr bwMode="auto">
                    <a:xfrm>
                      <a:off x="0" y="0"/>
                      <a:ext cx="4476750" cy="18573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16. </w:t>
      </w:r>
      <w:r>
        <w:rPr>
          <w:rFonts w:eastAsia="Times New Roman" w:cs="Times New Roman"/>
          <w:i/>
          <w:iCs/>
          <w:sz w:val="20"/>
          <w:szCs w:val="20"/>
        </w:rPr>
        <w:t>GET de todas las cuentas después del restore: el modelo de lectura sigue consistente.</w:t>
      </w:r>
    </w:p>
    <w:p>
      <w:pPr>
        <w:pStyle w:val="Heading2"/>
        <w:rPr/>
      </w:pPr>
      <w:bookmarkStart w:id="9" w:name="__RefHeading___Toc1184_106778696"/>
      <w:bookmarkEnd w:id="9"/>
      <w:r>
        <w:rPr/>
        <w:t>3.7 Flujo de eventos observado en los logs</w:t>
      </w:r>
    </w:p>
    <w:p>
      <w:pPr>
        <w:pStyle w:val="Normal"/>
        <w:spacing w:lineRule="exact" w:line="264" w:before="0" w:after="120"/>
        <w:jc w:val="both"/>
        <w:rPr/>
      </w:pPr>
      <w:r>
        <w:rPr>
          <w:rFonts w:eastAsia="Times New Roman" w:cs="Times New Roman"/>
          <w:sz w:val="24"/>
          <w:szCs w:val="24"/>
        </w:rPr>
        <w:t xml:space="preserve">Cada comando exitoso produjo un evento en el topic </w:t>
      </w:r>
      <w:r>
        <w:rPr>
          <w:rFonts w:eastAsia="Times New Roman" w:cs="Times New Roman"/>
          <w:i/>
          <w:iCs/>
          <w:sz w:val="24"/>
          <w:szCs w:val="24"/>
        </w:rPr>
        <w:t>BankAccountEvents</w:t>
      </w:r>
      <w:r>
        <w:rPr>
          <w:rFonts w:eastAsia="Times New Roman" w:cs="Times New Roman"/>
          <w:sz w:val="24"/>
          <w:szCs w:val="24"/>
        </w:rPr>
        <w:t xml:space="preserve"> (líneas PRODUCED del servicio de comandos) y el servicio de consulta lo consumió en el mismo orden (líneas CONSUMED, offsets 0 a 5).</w:t>
      </w:r>
    </w:p>
    <w:p>
      <w:pPr>
        <w:pStyle w:val="Normal"/>
        <w:keepNext w:val="true"/>
        <w:spacing w:before="60" w:after="40"/>
        <w:jc w:val="center"/>
        <w:rPr/>
      </w:pPr>
      <w:r>
        <w:rPr/>
        <w:drawing>
          <wp:inline distT="0" distB="0" distL="0" distR="0">
            <wp:extent cx="5943600" cy="2743200"/>
            <wp:effectExtent l="0" t="0" r="0" b="0"/>
            <wp:docPr id="17" name="p1-logs" descr="Logs de producción y consumo de eventos durante la Parte 1.&#10;Logs de producción y consumo de eventos durante la Par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1-logs" descr="Logs de producción y consumo de eventos durante la Parte 1.&#10;Logs de producción y consumo de eventos durante la Parte 1."/>
                    <pic:cNvPicPr>
                      <a:picLocks noChangeAspect="1" noChangeArrowheads="1"/>
                    </pic:cNvPicPr>
                  </pic:nvPicPr>
                  <pic:blipFill>
                    <a:blip r:embed="rId19"/>
                    <a:stretch>
                      <a:fillRect/>
                    </a:stretch>
                  </pic:blipFill>
                  <pic:spPr bwMode="auto">
                    <a:xfrm>
                      <a:off x="0" y="0"/>
                      <a:ext cx="5943600" cy="2743200"/>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17. </w:t>
      </w:r>
      <w:r>
        <w:rPr>
          <w:rFonts w:eastAsia="Times New Roman" w:cs="Times New Roman"/>
          <w:i/>
          <w:iCs/>
          <w:sz w:val="20"/>
          <w:szCs w:val="20"/>
        </w:rPr>
        <w:t>Logs de producción y consumo de eventos durante la Parte 1.</w:t>
      </w:r>
    </w:p>
    <w:p>
      <w:pPr>
        <w:pStyle w:val="Heading1"/>
        <w:rPr/>
      </w:pPr>
      <w:bookmarkStart w:id="10" w:name="__RefHeading___Toc1186_106778696"/>
      <w:bookmarkEnd w:id="10"/>
      <w:r>
        <w:rPr/>
        <w:t>4. Parte 2: Cambios para garantizar el orden de consumo</w:t>
      </w:r>
    </w:p>
    <w:p>
      <w:pPr>
        <w:pStyle w:val="Heading2"/>
        <w:rPr/>
      </w:pPr>
      <w:bookmarkStart w:id="11" w:name="__RefHeading___Toc1188_106778696"/>
      <w:bookmarkEnd w:id="11"/>
      <w:r>
        <w:rPr/>
        <w:t>4.1 El problema</w:t>
      </w:r>
    </w:p>
    <w:p>
      <w:pPr>
        <w:pStyle w:val="Normal"/>
        <w:spacing w:lineRule="exact" w:line="264" w:before="0" w:after="120"/>
        <w:jc w:val="both"/>
        <w:rPr/>
      </w:pPr>
      <w:r>
        <w:rPr>
          <w:rFonts w:eastAsia="Times New Roman" w:cs="Times New Roman"/>
          <w:sz w:val="24"/>
          <w:szCs w:val="24"/>
        </w:rPr>
        <w:t>En el código original cada tipo de evento se publicaba en un topic propio, cuyo nombre era el de la clase (</w:t>
      </w:r>
      <w:r>
        <w:rPr>
          <w:rFonts w:eastAsia="Times New Roman" w:cs="Times New Roman"/>
          <w:i/>
          <w:iCs/>
          <w:sz w:val="24"/>
          <w:szCs w:val="24"/>
        </w:rPr>
        <w:t>AccountOpenedEvent</w:t>
      </w:r>
      <w:r>
        <w:rPr>
          <w:rFonts w:eastAsia="Times New Roman" w:cs="Times New Roman"/>
          <w:sz w:val="24"/>
          <w:szCs w:val="24"/>
        </w:rPr>
        <w:t xml:space="preserve">, </w:t>
      </w:r>
      <w:r>
        <w:rPr>
          <w:rFonts w:eastAsia="Times New Roman" w:cs="Times New Roman"/>
          <w:i/>
          <w:iCs/>
          <w:sz w:val="24"/>
          <w:szCs w:val="24"/>
        </w:rPr>
        <w:t>FundsDepositedEvent</w:t>
      </w:r>
      <w:r>
        <w:rPr>
          <w:rFonts w:eastAsia="Times New Roman" w:cs="Times New Roman"/>
          <w:sz w:val="24"/>
          <w:szCs w:val="24"/>
        </w:rPr>
        <w:t xml:space="preserve">, </w:t>
      </w:r>
      <w:r>
        <w:rPr>
          <w:rFonts w:eastAsia="Times New Roman" w:cs="Times New Roman"/>
          <w:i/>
          <w:iCs/>
          <w:sz w:val="24"/>
          <w:szCs w:val="24"/>
        </w:rPr>
        <w:t>FundsWithdrawnEvent</w:t>
      </w:r>
      <w:r>
        <w:rPr>
          <w:rFonts w:eastAsia="Times New Roman" w:cs="Times New Roman"/>
          <w:sz w:val="24"/>
          <w:szCs w:val="24"/>
        </w:rPr>
        <w:t xml:space="preserve">, </w:t>
      </w:r>
      <w:r>
        <w:rPr>
          <w:rFonts w:eastAsia="Times New Roman" w:cs="Times New Roman"/>
          <w:i/>
          <w:iCs/>
          <w:sz w:val="24"/>
          <w:szCs w:val="24"/>
        </w:rPr>
        <w:t>AccountClosedEvent</w:t>
      </w:r>
      <w:r>
        <w:rPr>
          <w:rFonts w:eastAsia="Times New Roman" w:cs="Times New Roman"/>
          <w:sz w:val="24"/>
          <w:szCs w:val="24"/>
        </w:rPr>
        <w:t xml:space="preserve">), y el servicio de consulta tenía un </w:t>
      </w:r>
      <w:r>
        <w:rPr>
          <w:rFonts w:eastAsia="Times New Roman" w:cs="Times New Roman"/>
          <w:i/>
          <w:iCs/>
          <w:sz w:val="24"/>
          <w:szCs w:val="24"/>
        </w:rPr>
        <w:t>@KafkaListener</w:t>
      </w:r>
      <w:r>
        <w:rPr>
          <w:rFonts w:eastAsia="Times New Roman" w:cs="Times New Roman"/>
          <w:sz w:val="24"/>
          <w:szCs w:val="24"/>
        </w:rPr>
        <w:t xml:space="preserve"> por topic. Kafka garantiza el orden </w:t>
      </w:r>
      <w:r>
        <w:rPr>
          <w:rFonts w:eastAsia="Times New Roman" w:cs="Times New Roman"/>
          <w:b/>
          <w:bCs/>
          <w:sz w:val="24"/>
          <w:szCs w:val="24"/>
        </w:rPr>
        <w:t>solo dentro de una partición</w:t>
      </w:r>
      <w:r>
        <w:rPr>
          <w:rFonts w:eastAsia="Times New Roman" w:cs="Times New Roman"/>
          <w:sz w:val="24"/>
          <w:szCs w:val="24"/>
        </w:rPr>
        <w:t>; entre topics distintos no existe orden relativo, y cada listener corre en su propio hilo consumidor.</w:t>
      </w:r>
    </w:p>
    <w:p>
      <w:pPr>
        <w:pStyle w:val="Normal"/>
        <w:spacing w:lineRule="exact" w:line="264" w:before="0" w:after="120"/>
        <w:jc w:val="both"/>
        <w:rPr/>
      </w:pPr>
      <w:r>
        <w:rPr>
          <w:rFonts w:eastAsia="Times New Roman" w:cs="Times New Roman"/>
          <w:sz w:val="24"/>
          <w:szCs w:val="24"/>
        </w:rPr>
        <w:t xml:space="preserve">En operación normal, como los eventos se generan con segundos de diferencia, el problema casi no se nota. Pero al reproducir los eventos (un servicio de consulta nuevo, una base de lectura reconstruida, offsets reiniciados), los cuatro listeners leen en paralelo y el modelo de lectura puede recibir, por ejemplo, un </w:t>
      </w:r>
      <w:r>
        <w:rPr>
          <w:rFonts w:eastAsia="Times New Roman" w:cs="Times New Roman"/>
          <w:i/>
          <w:iCs/>
          <w:sz w:val="24"/>
          <w:szCs w:val="24"/>
        </w:rPr>
        <w:t>FundsDepositedEvent</w:t>
      </w:r>
      <w:r>
        <w:rPr>
          <w:rFonts w:eastAsia="Times New Roman" w:cs="Times New Roman"/>
          <w:sz w:val="24"/>
          <w:szCs w:val="24"/>
        </w:rPr>
        <w:t xml:space="preserve"> antes del </w:t>
      </w:r>
      <w:r>
        <w:rPr>
          <w:rFonts w:eastAsia="Times New Roman" w:cs="Times New Roman"/>
          <w:i/>
          <w:iCs/>
          <w:sz w:val="24"/>
          <w:szCs w:val="24"/>
        </w:rPr>
        <w:t>AccountOpenedEvent</w:t>
      </w:r>
      <w:r>
        <w:rPr>
          <w:rFonts w:eastAsia="Times New Roman" w:cs="Times New Roman"/>
          <w:sz w:val="24"/>
          <w:szCs w:val="24"/>
        </w:rPr>
        <w:t xml:space="preserve"> de la misma cuenta: el handler no encuentra la cuenta y el depósito se pierde. El modelo de lectura queda inconsistente con el event store.</w:t>
      </w:r>
    </w:p>
    <w:p>
      <w:pPr>
        <w:pStyle w:val="Normal"/>
        <w:keepNext w:val="true"/>
        <w:spacing w:before="60" w:after="40"/>
        <w:jc w:val="center"/>
        <w:rPr/>
      </w:pPr>
      <w:r>
        <w:rPr/>
        <w:drawing>
          <wp:inline distT="0" distB="0" distL="0" distR="0">
            <wp:extent cx="5943600" cy="2143125"/>
            <wp:effectExtent l="0" t="0" r="0" b="0"/>
            <wp:docPr id="18" name="diagram" descr="Antes y después: de un topic por tipo de evento a un único topic ordenado.&#10;Antes y después: de un topic por tipo de evento a un único topic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iagram" descr="Antes y después: de un topic por tipo de evento a un único topic ordenado.&#10;Antes y después: de un topic por tipo de evento a un único topic ordenado."/>
                    <pic:cNvPicPr>
                      <a:picLocks noChangeAspect="1" noChangeArrowheads="1"/>
                    </pic:cNvPicPr>
                  </pic:nvPicPr>
                  <pic:blipFill>
                    <a:blip r:embed="rId20"/>
                    <a:stretch>
                      <a:fillRect/>
                    </a:stretch>
                  </pic:blipFill>
                  <pic:spPr bwMode="auto">
                    <a:xfrm>
                      <a:off x="0" y="0"/>
                      <a:ext cx="5943600" cy="214312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18. </w:t>
      </w:r>
      <w:r>
        <w:rPr>
          <w:rFonts w:eastAsia="Times New Roman" w:cs="Times New Roman"/>
          <w:i/>
          <w:iCs/>
          <w:sz w:val="20"/>
          <w:szCs w:val="20"/>
        </w:rPr>
        <w:t>Antes y después: de un topic por tipo de evento a un único topic ordenado.</w:t>
      </w:r>
    </w:p>
    <w:p>
      <w:pPr>
        <w:pStyle w:val="Heading2"/>
        <w:rPr/>
      </w:pPr>
      <w:bookmarkStart w:id="12" w:name="__RefHeading___Toc1190_106778696"/>
      <w:bookmarkEnd w:id="12"/>
      <w:r>
        <w:rPr/>
        <w:t>4.2 Cambios solicitados por el enunciado</w:t>
      </w:r>
    </w:p>
    <w:p>
      <w:pPr>
        <w:pStyle w:val="Heading3"/>
        <w:rPr/>
      </w:pPr>
      <w:r>
        <w:rPr/>
        <w:t>a. application.yml: un solo topic</w:t>
      </w:r>
    </w:p>
    <w:p>
      <w:pPr>
        <w:pStyle w:val="Normal"/>
        <w:spacing w:lineRule="exact" w:line="264" w:before="0" w:after="120"/>
        <w:jc w:val="both"/>
        <w:rPr/>
      </w:pPr>
      <w:r>
        <w:rPr>
          <w:rFonts w:eastAsia="Times New Roman" w:cs="Times New Roman"/>
          <w:sz w:val="24"/>
          <w:szCs w:val="24"/>
        </w:rPr>
        <w:t xml:space="preserve">Se agregó la propiedad </w:t>
      </w:r>
      <w:r>
        <w:rPr>
          <w:rFonts w:eastAsia="Times New Roman" w:cs="Times New Roman"/>
          <w:i/>
          <w:iCs/>
          <w:sz w:val="24"/>
          <w:szCs w:val="24"/>
        </w:rPr>
        <w:t>spring.kafka.topic</w:t>
      </w:r>
      <w:r>
        <w:rPr>
          <w:rFonts w:eastAsia="Times New Roman" w:cs="Times New Roman"/>
          <w:sz w:val="24"/>
          <w:szCs w:val="24"/>
        </w:rPr>
        <w:t xml:space="preserve"> con el nombre del topic único, en ambos servicios:</w:t>
      </w:r>
    </w:p>
    <w:p>
      <w:pPr>
        <w:pStyle w:val="Normal"/>
        <w:keepNext w:val="true"/>
        <w:shd w:val="clear" w:fill="E7E7E7"/>
        <w:spacing w:before="100" w:after="0"/>
        <w:rPr/>
      </w:pPr>
      <w:r>
        <w:rPr>
          <w:rFonts w:eastAsia="Consolas" w:cs="Consolas" w:ascii="Consolas" w:hAnsi="Consolas"/>
          <w:b/>
          <w:bCs/>
          <w:sz w:val="16"/>
          <w:szCs w:val="16"/>
        </w:rPr>
        <w:t xml:space="preserve"> </w:t>
      </w:r>
      <w:r>
        <w:rPr>
          <w:rFonts w:eastAsia="Consolas" w:cs="Consolas" w:ascii="Consolas" w:hAnsi="Consolas"/>
          <w:b/>
          <w:bCs/>
          <w:sz w:val="16"/>
          <w:szCs w:val="16"/>
        </w:rPr>
        <w:t>account.cmd/src/main/resources/application.yml</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-9,4 +9,6 @@ spring:</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database: bankAccount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kafka:</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 Guarantee Event Consume Order: un solo topic para todos los eventos del agregado</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topic: BankAccountEvents</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producer:</w:t>
      </w:r>
    </w:p>
    <w:p>
      <w:pPr>
        <w:pStyle w:val="Normal"/>
        <w:shd w:val="clear" w:fill="F5F5F5"/>
        <w:spacing w:lineRule="exact" w:line="228" w:before="0" w:after="140"/>
        <w:rPr/>
      </w:pPr>
      <w:r>
        <w:rPr>
          <w:rFonts w:eastAsia="Consolas" w:cs="Consolas" w:ascii="Consolas" w:hAnsi="Consolas"/>
          <w:sz w:val="15"/>
          <w:szCs w:val="15"/>
        </w:rPr>
        <w:t xml:space="preserve">        </w:t>
      </w:r>
      <w:r>
        <w:rPr>
          <w:rFonts w:eastAsia="Consolas" w:cs="Consolas" w:ascii="Consolas" w:hAnsi="Consolas"/>
          <w:sz w:val="15"/>
          <w:szCs w:val="15"/>
        </w:rPr>
        <w:t>bootstrap-servers: localhost:29092</w:t>
      </w:r>
    </w:p>
    <w:p>
      <w:pPr>
        <w:pStyle w:val="Normal"/>
        <w:keepNext w:val="true"/>
        <w:shd w:val="clear" w:fill="E7E7E7"/>
        <w:spacing w:before="100" w:after="0"/>
        <w:rPr/>
      </w:pPr>
      <w:r>
        <w:rPr>
          <w:rFonts w:eastAsia="Consolas" w:cs="Consolas" w:ascii="Consolas" w:hAnsi="Consolas"/>
          <w:b/>
          <w:bCs/>
          <w:sz w:val="16"/>
          <w:szCs w:val="16"/>
        </w:rPr>
        <w:t xml:space="preserve"> </w:t>
      </w:r>
      <w:r>
        <w:rPr>
          <w:rFonts w:eastAsia="Consolas" w:cs="Consolas" w:ascii="Consolas" w:hAnsi="Consolas"/>
          <w:b/>
          <w:bCs/>
          <w:sz w:val="16"/>
          <w:szCs w:val="16"/>
        </w:rPr>
        <w:t>account.query/src/main/resources/application.yml</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-15,4 +15,6 @@ spring:</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password: techbankRootPsw</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kafka:</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 Guarantee Event Consume Order: un solo topic para todos los eventos del agregado</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topic: BankAccountEvents</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listener:</w:t>
      </w:r>
    </w:p>
    <w:p>
      <w:pPr>
        <w:pStyle w:val="Normal"/>
        <w:shd w:val="clear" w:fill="F5F5F5"/>
        <w:spacing w:lineRule="exact" w:line="228" w:before="0" w:after="140"/>
        <w:rPr/>
      </w:pPr>
      <w:r>
        <w:rPr>
          <w:rFonts w:eastAsia="Consolas" w:cs="Consolas" w:ascii="Consolas" w:hAnsi="Consolas"/>
          <w:sz w:val="15"/>
          <w:szCs w:val="15"/>
        </w:rPr>
        <w:t xml:space="preserve">        </w:t>
      </w:r>
      <w:r>
        <w:rPr>
          <w:rFonts w:eastAsia="Consolas" w:cs="Consolas" w:ascii="Consolas" w:hAnsi="Consolas"/>
          <w:sz w:val="15"/>
          <w:szCs w:val="15"/>
        </w:rPr>
        <w:t>ack-mode: MANUAL_IMMEDIATE</w:t>
      </w:r>
    </w:p>
    <w:p>
      <w:pPr>
        <w:pStyle w:val="Heading3"/>
        <w:rPr/>
      </w:pPr>
      <w:r>
        <w:rPr/>
        <w:t>b. AccountEventStore: publicar en el topic único</w:t>
      </w:r>
    </w:p>
    <w:p>
      <w:pPr>
        <w:pStyle w:val="Normal"/>
        <w:spacing w:lineRule="exact" w:line="264" w:before="0" w:after="120"/>
        <w:jc w:val="both"/>
        <w:rPr/>
      </w:pPr>
      <w:r>
        <w:rPr>
          <w:rFonts w:eastAsia="Times New Roman" w:cs="Times New Roman"/>
          <w:sz w:val="24"/>
          <w:szCs w:val="24"/>
        </w:rPr>
        <w:t>Al persistir cada evento en MongoDB, ahora se publica en el topic configurado en lugar del topic con el nombre de la clase:</w:t>
      </w:r>
    </w:p>
    <w:p>
      <w:pPr>
        <w:pStyle w:val="Normal"/>
        <w:keepNext w:val="true"/>
        <w:shd w:val="clear" w:fill="E7E7E7"/>
        <w:spacing w:before="100" w:after="0"/>
        <w:rPr/>
      </w:pPr>
      <w:r>
        <w:rPr>
          <w:rFonts w:eastAsia="Consolas" w:cs="Consolas" w:ascii="Consolas" w:hAnsi="Consolas"/>
          <w:b/>
          <w:bCs/>
          <w:sz w:val="16"/>
          <w:szCs w:val="16"/>
        </w:rPr>
        <w:t xml:space="preserve"> </w:t>
      </w:r>
      <w:r>
        <w:rPr>
          <w:rFonts w:eastAsia="Consolas" w:cs="Consolas" w:ascii="Consolas" w:hAnsi="Consolas"/>
          <w:b/>
          <w:bCs/>
          <w:sz w:val="16"/>
          <w:szCs w:val="16"/>
        </w:rPr>
        <w:t>account.cmd/.../infrastructure/AccountEventStore.java</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-10,4 +10,5 @@ import com.techbank.cqrs.core.infrastructure.EventStore;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com.techbank.cqrs.core.producers.EventProducer;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org.springframework.beans.factory.annotation.Autowired;</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org.springframework.beans.factory.annotation.Value;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org.springframework.stereotype.Service;</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-24,4 +25,8 @@ public class AccountEventStore implements EventStore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private EventStoreRepository eventStoreRepository;</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 Topic unico para todos los eventos (Guarantee Event Consume Order)</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@Value("${spring.kafka.topic}")</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private String topic;</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@Override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void saveEvents(String aggregateId, Iterable&lt;BaseEvent&gt; events, int expectedVersion) {</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-44,5 +49,5 @@ public class AccountEventStore implements EventStore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var persistedEvent = eventStoreRepository.save(eventModel);</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if (!persistedEvent.getId().isEmpty()) {</w:t>
      </w:r>
    </w:p>
    <w:p>
      <w:pPr>
        <w:pStyle w:val="Normal"/>
        <w:shd w:val="clear" w:fill="FDE8E7"/>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eventProducer.produce(event.getClass().getSimpleName(), event);</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eventProducer.produce(topic, 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140"/>
        <w:rPr/>
      </w:pPr>
      <w:r>
        <w:rPr>
          <w:rFonts w:eastAsia="Consolas" w:cs="Consolas" w:ascii="Consolas" w:hAnsi="Consolas"/>
          <w:sz w:val="15"/>
          <w:szCs w:val="15"/>
        </w:rPr>
        <w:t xml:space="preserve">          </w:t>
      </w:r>
      <w:r>
        <w:rPr>
          <w:rFonts w:eastAsia="Consolas" w:cs="Consolas" w:ascii="Consolas" w:hAnsi="Consolas"/>
          <w:sz w:val="15"/>
          <w:szCs w:val="15"/>
        </w:rPr>
        <w:t>}</w:t>
      </w:r>
    </w:p>
    <w:p>
      <w:pPr>
        <w:pStyle w:val="Heading3"/>
        <w:rPr/>
      </w:pPr>
      <w:r>
        <w:rPr/>
        <w:t>c. AccountEventSourcingHandler: republicar en el topic único</w:t>
      </w:r>
    </w:p>
    <w:p>
      <w:pPr>
        <w:pStyle w:val="Normal"/>
        <w:spacing w:lineRule="exact" w:line="264" w:before="0" w:after="120"/>
        <w:jc w:val="both"/>
        <w:rPr/>
      </w:pPr>
      <w:r>
        <w:rPr>
          <w:rFonts w:eastAsia="Times New Roman" w:cs="Times New Roman"/>
          <w:sz w:val="24"/>
          <w:szCs w:val="24"/>
        </w:rPr>
        <w:t xml:space="preserve">El mismo cambio en </w:t>
      </w:r>
      <w:r>
        <w:rPr>
          <w:rFonts w:eastAsia="Times New Roman" w:cs="Times New Roman"/>
          <w:i/>
          <w:iCs/>
          <w:sz w:val="24"/>
          <w:szCs w:val="24"/>
        </w:rPr>
        <w:t>republishEvents()</w:t>
      </w:r>
      <w:r>
        <w:rPr>
          <w:rFonts w:eastAsia="Times New Roman" w:cs="Times New Roman"/>
          <w:sz w:val="24"/>
          <w:szCs w:val="24"/>
        </w:rPr>
        <w:t>, usado por el endpoint de restauración de la base de lectura:</w:t>
      </w:r>
    </w:p>
    <w:p>
      <w:pPr>
        <w:pStyle w:val="Normal"/>
        <w:keepNext w:val="true"/>
        <w:shd w:val="clear" w:fill="E7E7E7"/>
        <w:spacing w:before="100" w:after="0"/>
        <w:rPr/>
      </w:pPr>
      <w:r>
        <w:rPr>
          <w:rFonts w:eastAsia="Consolas" w:cs="Consolas" w:ascii="Consolas" w:hAnsi="Consolas"/>
          <w:b/>
          <w:bCs/>
          <w:sz w:val="16"/>
          <w:szCs w:val="16"/>
        </w:rPr>
        <w:t xml:space="preserve"> </w:t>
      </w:r>
      <w:r>
        <w:rPr>
          <w:rFonts w:eastAsia="Consolas" w:cs="Consolas" w:ascii="Consolas" w:hAnsi="Consolas"/>
          <w:b/>
          <w:bCs/>
          <w:sz w:val="16"/>
          <w:szCs w:val="16"/>
        </w:rPr>
        <w:t>account.cmd/.../infrastructure/AccountEventSourcingHandler.java</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-7,4 +7,5 @@ import com.techbank.cqrs.core.infrastructure.EventStore;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com.techbank.cqrs.core.producers.EventProducer;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org.springframework.beans.factory.annotation.Autowired;</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org.springframework.beans.factory.annotation.Value;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org.springframework.stereotype.Service;</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-19,4 +20,8 @@ public class AccountEventSourcingHandler implements EventSourcingHandler&lt;Account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private EventProducer eventProducer;</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 Topic unico para todos los eventos (Guarantee Event Consume Order)</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@Value("${spring.kafka.topic}")</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private String topic;</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@Override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void save(AggregateRoot aggregate) {</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-45,5 +50,5 @@ public class AccountEventSourcingHandler implements EventSourcingHandler&lt;Account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var events = eventStore.getEvents(aggregateId);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for(var event: events) {</w:t>
      </w:r>
    </w:p>
    <w:p>
      <w:pPr>
        <w:pStyle w:val="Normal"/>
        <w:shd w:val="clear" w:fill="FDE8E7"/>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eventProducer.produce(event.getClass().getSimpleName(), event);</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eventProducer.produce(topic, 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140"/>
        <w:rPr/>
      </w:pPr>
      <w:r>
        <w:rPr>
          <w:rFonts w:eastAsia="Consolas" w:cs="Consolas" w:ascii="Consolas" w:hAnsi="Consolas"/>
          <w:sz w:val="15"/>
          <w:szCs w:val="15"/>
        </w:rPr>
        <w:t xml:space="preserve">          </w:t>
      </w:r>
      <w:r>
        <w:rPr>
          <w:rFonts w:eastAsia="Consolas" w:cs="Consolas" w:ascii="Consolas" w:hAnsi="Consolas"/>
          <w:sz w:val="15"/>
          <w:szCs w:val="15"/>
        </w:rPr>
        <w:t>}</w:t>
      </w:r>
    </w:p>
    <w:p>
      <w:pPr>
        <w:pStyle w:val="Heading3"/>
        <w:rPr/>
      </w:pPr>
      <w:r>
        <w:rPr/>
        <w:t>d. EventConsumer: una sola firma para todos los eventos</w:t>
      </w:r>
    </w:p>
    <w:p>
      <w:pPr>
        <w:pStyle w:val="Normal"/>
        <w:spacing w:lineRule="exact" w:line="264" w:before="0" w:after="120"/>
        <w:jc w:val="both"/>
        <w:rPr/>
      </w:pPr>
      <w:r>
        <w:rPr>
          <w:rFonts w:eastAsia="Times New Roman" w:cs="Times New Roman"/>
          <w:sz w:val="24"/>
          <w:szCs w:val="24"/>
        </w:rPr>
        <w:t xml:space="preserve">La interfaz pasa de cuatro métodos (uno por tipo de evento) a uno solo que recibe </w:t>
      </w:r>
      <w:r>
        <w:rPr>
          <w:rFonts w:eastAsia="Times New Roman" w:cs="Times New Roman"/>
          <w:i/>
          <w:iCs/>
          <w:sz w:val="24"/>
          <w:szCs w:val="24"/>
        </w:rPr>
        <w:t>BaseEvent</w:t>
      </w:r>
      <w:r>
        <w:rPr>
          <w:rFonts w:eastAsia="Times New Roman" w:cs="Times New Roman"/>
          <w:sz w:val="24"/>
          <w:szCs w:val="24"/>
        </w:rPr>
        <w:t>. Se agregan la partición y el offset como parámetros para registrarlos en el log como evidencia del orden.</w:t>
      </w:r>
    </w:p>
    <w:p>
      <w:pPr>
        <w:pStyle w:val="Normal"/>
        <w:keepNext w:val="true"/>
        <w:shd w:val="clear" w:fill="E7E7E7"/>
        <w:spacing w:before="100" w:after="0"/>
        <w:rPr/>
      </w:pPr>
      <w:r>
        <w:rPr>
          <w:rFonts w:eastAsia="Consolas" w:cs="Consolas" w:ascii="Consolas" w:hAnsi="Consolas"/>
          <w:b/>
          <w:bCs/>
          <w:sz w:val="16"/>
          <w:szCs w:val="16"/>
        </w:rPr>
        <w:t xml:space="preserve"> </w:t>
      </w:r>
      <w:r>
        <w:rPr>
          <w:rFonts w:eastAsia="Consolas" w:cs="Consolas" w:ascii="Consolas" w:hAnsi="Consolas"/>
          <w:b/>
          <w:bCs/>
          <w:sz w:val="16"/>
          <w:szCs w:val="16"/>
        </w:rPr>
        <w:t>EventConsumer.java (antes)</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package com.techbank.account.query.infrastructure.consumers;</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com.techbank.account.common.events.AccountClosedEvent;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com.techbank.account.common.events.AccountOpenedEvent;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com.techbank.account.common.events.FundsDepositedEvent;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com.techbank.account.common.events.FundsWithdrawnEvent;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org.springframework.kafka.support.Acknowledgment;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org.springframework.messaging.handler.annotation.Payload;</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interface EventConsumer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void consume(@Payload AccountOpenedEvent event, Acknowledgment ack);</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void consume(@Payload FundsDepositedEvent event, Acknowledgment ack);</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void consume(@Payload FundsWithdrawnEvent event, Acknowledgment ack);</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void consume(@Payload AccountClosedEvent event, Acknowledgment ack);</w:t>
      </w:r>
    </w:p>
    <w:p>
      <w:pPr>
        <w:pStyle w:val="Normal"/>
        <w:shd w:val="clear" w:fill="F5F5F5"/>
        <w:spacing w:lineRule="exact" w:line="228" w:before="0" w:after="14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keepNext w:val="true"/>
        <w:shd w:val="clear" w:fill="E7E7E7"/>
        <w:spacing w:before="100" w:after="0"/>
        <w:rPr/>
      </w:pPr>
      <w:r>
        <w:rPr>
          <w:rFonts w:eastAsia="Consolas" w:cs="Consolas" w:ascii="Consolas" w:hAnsi="Consolas"/>
          <w:b/>
          <w:bCs/>
          <w:sz w:val="16"/>
          <w:szCs w:val="16"/>
        </w:rPr>
        <w:t xml:space="preserve"> </w:t>
      </w:r>
      <w:r>
        <w:rPr>
          <w:rFonts w:eastAsia="Consolas" w:cs="Consolas" w:ascii="Consolas" w:hAnsi="Consolas"/>
          <w:b/>
          <w:bCs/>
          <w:sz w:val="16"/>
          <w:szCs w:val="16"/>
        </w:rPr>
        <w:t>EventConsumer.java (después)</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package com.techbank.account.query.infrastructure.consumers;</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com.techbank.cqrs.core.events.BaseEvent;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org.springframework.kafka.support.Acknowledgment;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org.springframework.kafka.support.KafkaHeaders;</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org.springframework.messaging.handler.annotation.Header;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org.springframework.messaging.handler.annotation.Payload;</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Guarantee Event Consume Order: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en lugar de un metodo (y un topic) por tipo de evento, un solo metodo consume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todos los eventos del topic unico, en el mismo orden en que fueron producidos.</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interface EventConsumer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void consume(@Payload BaseEvent 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@Header(KafkaHeaders.RECEIVED_PARTITION_ID) int partition,</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@Header(KafkaHeaders.OFFSET) long offset,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Acknowledgment ack);</w:t>
      </w:r>
    </w:p>
    <w:p>
      <w:pPr>
        <w:pStyle w:val="Normal"/>
        <w:shd w:val="clear" w:fill="F5F5F5"/>
        <w:spacing w:lineRule="exact" w:line="228" w:before="0" w:after="140"/>
        <w:rPr/>
      </w:pPr>
      <w:r>
        <w:rPr>
          <w:rFonts w:eastAsia="Consolas" w:cs="Consolas" w:ascii="Consolas" w:hAnsi="Consolas"/>
          <w:sz w:val="15"/>
          <w:szCs w:val="15"/>
        </w:rPr>
        <w:t xml:space="preserve"> </w:t>
      </w:r>
      <w:r>
        <w:rPr>
          <w:rFonts w:eastAsia="Consolas" w:cs="Consolas" w:ascii="Consolas" w:hAnsi="Consolas"/>
          <w:sz w:val="15"/>
          <w:szCs w:val="15"/>
        </w:rPr>
        <w:t>}</w:t>
      </w:r>
    </w:p>
    <w:p>
      <w:pPr>
        <w:pStyle w:val="Heading3"/>
        <w:rPr/>
      </w:pPr>
      <w:r>
        <w:rPr/>
        <w:t>e. AccountEventConsumer: un único listener</w:t>
      </w:r>
    </w:p>
    <w:p>
      <w:pPr>
        <w:pStyle w:val="Normal"/>
        <w:spacing w:lineRule="exact" w:line="264" w:before="0" w:after="120"/>
        <w:jc w:val="both"/>
        <w:rPr/>
      </w:pPr>
      <w:r>
        <w:rPr>
          <w:rFonts w:eastAsia="Times New Roman" w:cs="Times New Roman"/>
          <w:sz w:val="24"/>
          <w:szCs w:val="24"/>
        </w:rPr>
        <w:t xml:space="preserve">Un único </w:t>
      </w:r>
      <w:r>
        <w:rPr>
          <w:rFonts w:eastAsia="Times New Roman" w:cs="Times New Roman"/>
          <w:i/>
          <w:iCs/>
          <w:sz w:val="24"/>
          <w:szCs w:val="24"/>
        </w:rPr>
        <w:t>@KafkaListener</w:t>
      </w:r>
      <w:r>
        <w:rPr>
          <w:rFonts w:eastAsia="Times New Roman" w:cs="Times New Roman"/>
          <w:sz w:val="24"/>
          <w:szCs w:val="24"/>
        </w:rPr>
        <w:t xml:space="preserve"> escucha el topic configurado. El </w:t>
      </w:r>
      <w:r>
        <w:rPr>
          <w:rFonts w:eastAsia="Times New Roman" w:cs="Times New Roman"/>
          <w:i/>
          <w:iCs/>
          <w:sz w:val="24"/>
          <w:szCs w:val="24"/>
        </w:rPr>
        <w:t>JsonDeserializer</w:t>
      </w:r>
      <w:r>
        <w:rPr>
          <w:rFonts w:eastAsia="Times New Roman" w:cs="Times New Roman"/>
          <w:sz w:val="24"/>
          <w:szCs w:val="24"/>
        </w:rPr>
        <w:t xml:space="preserve"> reconstruye la clase concreta del evento a partir del header </w:t>
      </w:r>
      <w:r>
        <w:rPr>
          <w:rFonts w:eastAsia="Times New Roman" w:cs="Times New Roman"/>
          <w:i/>
          <w:iCs/>
          <w:sz w:val="24"/>
          <w:szCs w:val="24"/>
        </w:rPr>
        <w:t>__TypeId__</w:t>
      </w:r>
      <w:r>
        <w:rPr>
          <w:rFonts w:eastAsia="Times New Roman" w:cs="Times New Roman"/>
          <w:sz w:val="24"/>
          <w:szCs w:val="24"/>
        </w:rPr>
        <w:t xml:space="preserve"> que agrega el </w:t>
      </w:r>
      <w:r>
        <w:rPr>
          <w:rFonts w:eastAsia="Times New Roman" w:cs="Times New Roman"/>
          <w:i/>
          <w:iCs/>
          <w:sz w:val="24"/>
          <w:szCs w:val="24"/>
        </w:rPr>
        <w:t>JsonSerializer</w:t>
      </w:r>
      <w:r>
        <w:rPr>
          <w:rFonts w:eastAsia="Times New Roman" w:cs="Times New Roman"/>
          <w:sz w:val="24"/>
          <w:szCs w:val="24"/>
        </w:rPr>
        <w:t xml:space="preserve"> del productor; luego se despacha por reflexión al método </w:t>
      </w:r>
      <w:r>
        <w:rPr>
          <w:rFonts w:eastAsia="Times New Roman" w:cs="Times New Roman"/>
          <w:i/>
          <w:iCs/>
          <w:sz w:val="24"/>
          <w:szCs w:val="24"/>
        </w:rPr>
        <w:t>on(...)</w:t>
      </w:r>
      <w:r>
        <w:rPr>
          <w:rFonts w:eastAsia="Times New Roman" w:cs="Times New Roman"/>
          <w:sz w:val="24"/>
          <w:szCs w:val="24"/>
        </w:rPr>
        <w:t xml:space="preserve"> del </w:t>
      </w:r>
      <w:r>
        <w:rPr>
          <w:rFonts w:eastAsia="Times New Roman" w:cs="Times New Roman"/>
          <w:i/>
          <w:iCs/>
          <w:sz w:val="24"/>
          <w:szCs w:val="24"/>
        </w:rPr>
        <w:t>EventHandler</w:t>
      </w:r>
      <w:r>
        <w:rPr>
          <w:rFonts w:eastAsia="Times New Roman" w:cs="Times New Roman"/>
          <w:sz w:val="24"/>
          <w:szCs w:val="24"/>
        </w:rPr>
        <w:t xml:space="preserve"> que corresponde a esa clase. El offset se confirma (</w:t>
      </w:r>
      <w:r>
        <w:rPr>
          <w:rFonts w:eastAsia="Times New Roman" w:cs="Times New Roman"/>
          <w:i/>
          <w:iCs/>
          <w:sz w:val="24"/>
          <w:szCs w:val="24"/>
        </w:rPr>
        <w:t>ack.acknowledge()</w:t>
      </w:r>
      <w:r>
        <w:rPr>
          <w:rFonts w:eastAsia="Times New Roman" w:cs="Times New Roman"/>
          <w:sz w:val="24"/>
          <w:szCs w:val="24"/>
        </w:rPr>
        <w:t>) solo después de aplicar el evento.</w:t>
      </w:r>
    </w:p>
    <w:p>
      <w:pPr>
        <w:pStyle w:val="Normal"/>
        <w:keepNext w:val="true"/>
        <w:shd w:val="clear" w:fill="E7E7E7"/>
        <w:spacing w:before="100" w:after="0"/>
        <w:rPr/>
      </w:pPr>
      <w:r>
        <w:rPr>
          <w:rFonts w:eastAsia="Consolas" w:cs="Consolas" w:ascii="Consolas" w:hAnsi="Consolas"/>
          <w:b/>
          <w:bCs/>
          <w:sz w:val="16"/>
          <w:szCs w:val="16"/>
        </w:rPr>
        <w:t xml:space="preserve"> </w:t>
      </w:r>
      <w:r>
        <w:rPr>
          <w:rFonts w:eastAsia="Consolas" w:cs="Consolas" w:ascii="Consolas" w:hAnsi="Consolas"/>
          <w:b/>
          <w:bCs/>
          <w:sz w:val="16"/>
          <w:szCs w:val="16"/>
        </w:rPr>
        <w:t>AccountEventConsumer.java (antes)</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package com.techbank.account.query.infrastructure.consumers;</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com.techbank.account.common.events.AccountClosedEvent;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com.techbank.account.common.events.AccountOpenedEvent;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com.techbank.account.common.events.FundsDepositedEvent;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com.techbank.account.common.events.FundsWithdrawnEvent;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com.techbank.account.query.infrastructure.handlers.EventHandler;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org.springframework.beans.factory.annotation.Autowired;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org.springframework.kafka.annotation.KafkaListener;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org.springframework.kafka.support.Acknowledgment;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org.springframework.messaging.handler.annotation.Payload;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org.springframework.stereotype.Service;</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@Service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class AccountEventConsumer implements EventConsumer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@Autowired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private EventHandler eventHandler;</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@KafkaListener(topics = "AccountOpenedEvent", groupId = "${spring.kafka.consumer.group-id}")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@Override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void consume(@Payload AccountOpenedEvent event, Acknowledgment ack)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this.eventHandler.on(event);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ack.acknowledge();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@KafkaListener(topics = "FundsDepositedEvent", groupId = "${spring.kafka.consumer.group-id}")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@Override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void consume(@Payload FundsDepositedEvent event, Acknowledgment ack)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this.eventHandler.on(event);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ack.acknowledge();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@KafkaListener(topics = "FundsWithdrawnEvent", groupId = "${spring.kafka.consumer.group-id}")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@Override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void consume(@Payload FundsWithdrawnEvent event, Acknowledgment ack)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this.eventHandler.on(event);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ack.acknowledge();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@KafkaListener(topics = "AccountClosedEvent", groupId = "${spring.kafka.consumer.group-id}")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@Override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void consume(@Payload AccountClosedEvent event, Acknowledgment ack)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this.eventHandler.on(event);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ack.acknowledge();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14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keepNext w:val="true"/>
        <w:shd w:val="clear" w:fill="E7E7E7"/>
        <w:spacing w:before="100" w:after="0"/>
        <w:rPr/>
      </w:pPr>
      <w:r>
        <w:rPr>
          <w:rFonts w:eastAsia="Consolas" w:cs="Consolas" w:ascii="Consolas" w:hAnsi="Consolas"/>
          <w:b/>
          <w:bCs/>
          <w:sz w:val="16"/>
          <w:szCs w:val="16"/>
        </w:rPr>
        <w:t xml:space="preserve"> </w:t>
      </w:r>
      <w:r>
        <w:rPr>
          <w:rFonts w:eastAsia="Consolas" w:cs="Consolas" w:ascii="Consolas" w:hAnsi="Consolas"/>
          <w:b/>
          <w:bCs/>
          <w:sz w:val="16"/>
          <w:szCs w:val="16"/>
        </w:rPr>
        <w:t>AccountEventConsumer.java (después)</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package com.techbank.account.query.infrastructure.consumers;</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com.techbank.account.query.infrastructure.handlers.EventHandler;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com.techbank.cqrs.core.events.BaseEvent;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org.slf4j.Logger;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org.slf4j.LoggerFactory;</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org.springframework.beans.factory.annotation.Autowired;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org.springframework.kafka.annotation.KafkaListener;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org.springframework.kafka.support.Acknowledgment;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org.springframework.kafka.support.KafkaHeaders;</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org.springframework.messaging.handler.annotation.Header;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org.springframework.messaging.handler.annotation.Payload;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org.springframework.stereotype.Service;</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java.lang.reflect.InvocationTargetException;</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@Service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class AccountEventConsumer implements EventConsumer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private static final Logger logger = LoggerFactory.getLogger(AccountEventConsumer.class);</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@Autowired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private EventHandler eventHandler;</w:t>
      </w:r>
    </w:p>
    <w:p>
      <w:pPr>
        <w:pStyle w:val="Normal"/>
        <w:shd w:val="clear" w:fill="F5F5F5"/>
        <w:spacing w:lineRule="exact" w:line="228" w:before="0" w:after="0"/>
        <w:rPr/>
      </w:pPr>
      <w:r>
        <w:rPr>
          <w:rFonts w:eastAsia="Consolas" w:cs="Consolas" w:ascii="Consolas" w:hAnsi="Consolas"/>
          <w:sz w:val="15"/>
          <w:szCs w:val="15"/>
        </w:rPr>
        <w:t xml:space="preserv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Un unico listener sobre un unico topic. El JsonDeserializer reconstruye el tipo concreto</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del evento (AccountOpenedEvent, FundsDepositedEvent, ...) a partir del header __TypeId__</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que agrega el JsonSerializer del productor, y aqui se despacha por reflexion al metodo</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on(...) correspondiente del EventHandler.</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@KafkaListener(topics = "${spring.kafka.topic}", groupId = "${spring.kafka.consumer.group-id}")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@Override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void consume(@Payload BaseEvent 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@Header(KafkaHeaders.RECEIVED_PARTITION_ID) int partition,</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@Header(KafkaHeaders.OFFSET) long offset,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Acknowledgment ack)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logger.info("CONSUMED  partition={} offset={} type={} id={} version={}",</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partition, offset, event.getClass().getSimpleName(), event.getId(), event.getVersion());</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try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var eventHandlerMethod = eventHandler.getClass().getDeclaredMethod("on", event.getClass());</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eventHandlerMethod.setAccessible(true);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eventHandlerMethod.invoke(eventHandler, 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ack.acknowledge();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catch (NoSuchMethodException | IllegalAccessException | InvocationTargetException e)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throw new RuntimeException("Error while consuming event " + event.getClass().getSimpleName(), 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140"/>
        <w:rPr/>
      </w:pPr>
      <w:r>
        <w:rPr>
          <w:rFonts w:eastAsia="Consolas" w:cs="Consolas" w:ascii="Consolas" w:hAnsi="Consolas"/>
          <w:sz w:val="15"/>
          <w:szCs w:val="15"/>
        </w:rPr>
        <w:t xml:space="preserve"> </w:t>
      </w:r>
      <w:r>
        <w:rPr>
          <w:rFonts w:eastAsia="Consolas" w:cs="Consolas" w:ascii="Consolas" w:hAnsi="Consolas"/>
          <w:sz w:val="15"/>
          <w:szCs w:val="15"/>
        </w:rPr>
        <w:t>}</w:t>
      </w:r>
    </w:p>
    <w:p>
      <w:pPr>
        <w:pStyle w:val="Heading2"/>
        <w:rPr/>
      </w:pPr>
      <w:bookmarkStart w:id="13" w:name="__RefHeading___Toc1192_106778696"/>
      <w:bookmarkEnd w:id="13"/>
      <w:r>
        <w:rPr/>
        <w:t>4.3 Cambios complementarios</w:t>
      </w:r>
    </w:p>
    <w:p>
      <w:pPr>
        <w:pStyle w:val="Heading3"/>
        <w:rPr/>
      </w:pPr>
      <w:r>
        <w:rPr/>
        <w:t>f. AccountEventProducer: key del mensaje = ID de la cuenta</w:t>
      </w:r>
    </w:p>
    <w:p>
      <w:pPr>
        <w:pStyle w:val="Normal"/>
        <w:spacing w:lineRule="exact" w:line="264" w:before="0" w:after="120"/>
        <w:jc w:val="both"/>
        <w:rPr/>
      </w:pPr>
      <w:r>
        <w:rPr>
          <w:rFonts w:eastAsia="Times New Roman" w:cs="Times New Roman"/>
          <w:sz w:val="24"/>
          <w:szCs w:val="24"/>
        </w:rPr>
        <w:t xml:space="preserve">Cada evento se envía con el ID del agregado como key. Con una sola partición esto no cambia el resultado, pero si el topic se escala a varias particiones, Kafka asigna todos los mensajes con la misma key a la misma partición, de modo que el orden de los eventos </w:t>
      </w:r>
      <w:r>
        <w:rPr>
          <w:rFonts w:eastAsia="Times New Roman" w:cs="Times New Roman"/>
          <w:b/>
          <w:bCs/>
          <w:sz w:val="24"/>
          <w:szCs w:val="24"/>
        </w:rPr>
        <w:t>de cada cuenta</w:t>
      </w:r>
      <w:r>
        <w:rPr>
          <w:rFonts w:eastAsia="Times New Roman" w:cs="Times New Roman"/>
          <w:sz w:val="24"/>
          <w:szCs w:val="24"/>
        </w:rPr>
        <w:t xml:space="preserve"> se mantiene. También se agregó un log por cada evento producido.</w:t>
      </w:r>
    </w:p>
    <w:p>
      <w:pPr>
        <w:pStyle w:val="Normal"/>
        <w:keepNext w:val="true"/>
        <w:shd w:val="clear" w:fill="E7E7E7"/>
        <w:spacing w:before="100" w:after="0"/>
        <w:rPr/>
      </w:pPr>
      <w:r>
        <w:rPr>
          <w:rFonts w:eastAsia="Consolas" w:cs="Consolas" w:ascii="Consolas" w:hAnsi="Consolas"/>
          <w:b/>
          <w:bCs/>
          <w:sz w:val="16"/>
          <w:szCs w:val="16"/>
        </w:rPr>
        <w:t xml:space="preserve"> </w:t>
      </w:r>
      <w:r>
        <w:rPr>
          <w:rFonts w:eastAsia="Consolas" w:cs="Consolas" w:ascii="Consolas" w:hAnsi="Consolas"/>
          <w:b/>
          <w:bCs/>
          <w:sz w:val="16"/>
          <w:szCs w:val="16"/>
        </w:rPr>
        <w:t>account.cmd/.../infrastructure/AccountEventProducer.java</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-3,4 +3,6 @@ package com.techbank.account.cmd.infrastructure;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com.techbank.cqrs.core.events.BaseEvent;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com.techbank.cqrs.core.producers.EventProducer;</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org.slf4j.Logger;</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org.slf4j.LoggerFactory;</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org.springframework.beans.factory.annotation.Autowired;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import org.springframework.kafka.core.KafkaTemplate;</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-9,4 +11,6 @@ import org.springframework.stereotype.Service;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@Service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class AccountEventProducer implements EventProducer {</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private static final Logger logger = LoggerFactory.getLogger(AccountEventProducer.class);</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@Autowired</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private KafkaTemplate&lt;String, Object&gt; kafkaTemplate;</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-14,5 +18,9 @@ public class AccountEventProducer implements EventProducer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@Override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public void produce(String topic, BaseEvent event) {</w:t>
      </w:r>
    </w:p>
    <w:p>
      <w:pPr>
        <w:pStyle w:val="Normal"/>
        <w:shd w:val="clear" w:fill="FDE8E7"/>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this.kafkaTemplate.send(topic, event);</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 La key del mensaje es el ID del agregado: Kafka garantiza el orden por particion,</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 y todos los eventos con la misma key van siempre a la misma particion.</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this.kafkaTemplate.send(topic, event.getId(), event);</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logger.info("PRODUCED  topic={} key={} type={} version={}",</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topic, event.getId(), event.getClass().getSimpleName(), event.getVersion());</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shd w:val="clear" w:fill="F5F5F5"/>
        <w:spacing w:lineRule="exact" w:line="228" w:before="0" w:after="140"/>
        <w:rPr/>
      </w:pPr>
      <w:r>
        <w:rPr>
          <w:rFonts w:eastAsia="Consolas" w:cs="Consolas" w:ascii="Consolas" w:hAnsi="Consolas"/>
          <w:sz w:val="15"/>
          <w:szCs w:val="15"/>
        </w:rPr>
        <w:t xml:space="preserve">  </w:t>
      </w:r>
      <w:r>
        <w:rPr>
          <w:rFonts w:eastAsia="Consolas" w:cs="Consolas" w:ascii="Consolas" w:hAnsi="Consolas"/>
          <w:sz w:val="15"/>
          <w:szCs w:val="15"/>
        </w:rPr>
        <w:t>}</w:t>
      </w:r>
    </w:p>
    <w:p>
      <w:pPr>
        <w:pStyle w:val="Heading3"/>
        <w:rPr/>
      </w:pPr>
      <w:r>
        <w:rPr/>
        <w:t>g. Corrección de un bug en AccountEventHandler</w:t>
      </w:r>
    </w:p>
    <w:p>
      <w:pPr>
        <w:pStyle w:val="Normal"/>
        <w:spacing w:lineRule="exact" w:line="264" w:before="0" w:after="120"/>
        <w:jc w:val="both"/>
        <w:rPr/>
      </w:pPr>
      <w:r>
        <w:rPr>
          <w:rFonts w:eastAsia="Times New Roman" w:cs="Times New Roman"/>
          <w:sz w:val="24"/>
          <w:szCs w:val="24"/>
        </w:rPr>
        <w:t xml:space="preserve">Durante las pruebas se detectó que el handler de </w:t>
      </w:r>
      <w:r>
        <w:rPr>
          <w:rFonts w:eastAsia="Times New Roman" w:cs="Times New Roman"/>
          <w:i/>
          <w:iCs/>
          <w:sz w:val="24"/>
          <w:szCs w:val="24"/>
        </w:rPr>
        <w:t>FundsWithdrawnEvent</w:t>
      </w:r>
      <w:r>
        <w:rPr>
          <w:rFonts w:eastAsia="Times New Roman" w:cs="Times New Roman"/>
          <w:sz w:val="24"/>
          <w:szCs w:val="24"/>
        </w:rPr>
        <w:t xml:space="preserve"> calculaba el nuevo saldo pero nunca lo asignaba a la entidad, así que los retiros no se reflejaban en el modelo de lectura. Se corrigió con una línea:</w:t>
      </w:r>
    </w:p>
    <w:p>
      <w:pPr>
        <w:pStyle w:val="Normal"/>
        <w:keepNext w:val="true"/>
        <w:shd w:val="clear" w:fill="E7E7E7"/>
        <w:spacing w:before="100" w:after="0"/>
        <w:rPr/>
      </w:pPr>
      <w:r>
        <w:rPr>
          <w:rFonts w:eastAsia="Consolas" w:cs="Consolas" w:ascii="Consolas" w:hAnsi="Consolas"/>
          <w:b/>
          <w:bCs/>
          <w:sz w:val="16"/>
          <w:szCs w:val="16"/>
        </w:rPr>
        <w:t xml:space="preserve"> </w:t>
      </w:r>
      <w:r>
        <w:rPr>
          <w:rFonts w:eastAsia="Consolas" w:cs="Consolas" w:ascii="Consolas" w:hAnsi="Consolas"/>
          <w:b/>
          <w:bCs/>
          <w:sz w:val="16"/>
          <w:szCs w:val="16"/>
        </w:rPr>
        <w:t>account.query/.../handlers/AccountEventHandler.java</w:t>
      </w:r>
    </w:p>
    <w:p>
      <w:pPr>
        <w:pStyle w:val="Normal"/>
        <w:shd w:val="clear" w:fill="ECECEC"/>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-47,4 +47,5 @@ public class AccountEventHandler implements EventHandler {</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var currentBalance = bankAccount.get().getBalance();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var latestBalance = currentBalance - event.getAmount();</w:t>
      </w:r>
    </w:p>
    <w:p>
      <w:pPr>
        <w:pStyle w:val="Normal"/>
        <w:shd w:val="clear" w:fill="E3F5E8"/>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        bankAccount.get().setBalance(latestBalance);</w:t>
      </w:r>
    </w:p>
    <w:p>
      <w:pPr>
        <w:pStyle w:val="Normal"/>
        <w:shd w:val="clear" w:fill="F5F5F5"/>
        <w:spacing w:lineRule="exact" w:line="228" w:before="0" w:after="0"/>
        <w:rPr/>
      </w:pPr>
      <w:r>
        <w:rPr>
          <w:rFonts w:eastAsia="Consolas" w:cs="Consolas" w:ascii="Consolas" w:hAnsi="Consolas"/>
          <w:sz w:val="15"/>
          <w:szCs w:val="15"/>
        </w:rPr>
        <w:t xml:space="preserve">          </w:t>
      </w:r>
      <w:r>
        <w:rPr>
          <w:rFonts w:eastAsia="Consolas" w:cs="Consolas" w:ascii="Consolas" w:hAnsi="Consolas"/>
          <w:sz w:val="15"/>
          <w:szCs w:val="15"/>
        </w:rPr>
        <w:t>accountRepository.save(bankAccount.get());</w:t>
      </w:r>
    </w:p>
    <w:p>
      <w:pPr>
        <w:pStyle w:val="Normal"/>
        <w:shd w:val="clear" w:fill="F5F5F5"/>
        <w:spacing w:lineRule="exact" w:line="228" w:before="0" w:after="140"/>
        <w:rPr/>
      </w:pPr>
      <w:r>
        <w:rPr>
          <w:rFonts w:eastAsia="Consolas" w:cs="Consolas" w:ascii="Consolas" w:hAnsi="Consolas"/>
          <w:sz w:val="15"/>
          <w:szCs w:val="15"/>
        </w:rPr>
        <w:t xml:space="preserve">      </w:t>
      </w:r>
      <w:r>
        <w:rPr>
          <w:rFonts w:eastAsia="Consolas" w:cs="Consolas" w:ascii="Consolas" w:hAnsi="Consolas"/>
          <w:sz w:val="15"/>
          <w:szCs w:val="15"/>
        </w:rPr>
        <w:t>}</w:t>
      </w:r>
    </w:p>
    <w:p>
      <w:pPr>
        <w:pStyle w:val="Heading3"/>
        <w:rPr/>
      </w:pPr>
      <w:r>
        <w:rPr/>
        <w:t>h. Infraestructura</w:t>
      </w:r>
    </w:p>
    <w:p>
      <w:pPr>
        <w:pStyle w:val="Normal"/>
        <w:spacing w:lineRule="exact" w:line="264" w:before="0" w:after="120"/>
        <w:jc w:val="both"/>
        <w:rPr/>
      </w:pPr>
      <w:r>
        <w:rPr>
          <w:rFonts w:eastAsia="Times New Roman" w:cs="Times New Roman"/>
          <w:sz w:val="24"/>
          <w:szCs w:val="24"/>
        </w:rPr>
        <w:t xml:space="preserve">Se agregaron </w:t>
      </w:r>
      <w:r>
        <w:rPr>
          <w:rFonts w:eastAsia="Times New Roman" w:cs="Times New Roman"/>
          <w:i/>
          <w:iCs/>
          <w:sz w:val="24"/>
          <w:szCs w:val="24"/>
        </w:rPr>
        <w:t>Dockerfile</w:t>
      </w:r>
      <w:r>
        <w:rPr>
          <w:rFonts w:eastAsia="Times New Roman" w:cs="Times New Roman"/>
          <w:sz w:val="24"/>
          <w:szCs w:val="24"/>
        </w:rPr>
        <w:t xml:space="preserve">, </w:t>
      </w:r>
      <w:r>
        <w:rPr>
          <w:rFonts w:eastAsia="Times New Roman" w:cs="Times New Roman"/>
          <w:i/>
          <w:iCs/>
          <w:sz w:val="24"/>
          <w:szCs w:val="24"/>
        </w:rPr>
        <w:t>.dockerignore</w:t>
      </w:r>
      <w:r>
        <w:rPr>
          <w:rFonts w:eastAsia="Times New Roman" w:cs="Times New Roman"/>
          <w:sz w:val="24"/>
          <w:szCs w:val="24"/>
        </w:rPr>
        <w:t xml:space="preserve"> y </w:t>
      </w:r>
      <w:r>
        <w:rPr>
          <w:rFonts w:eastAsia="Times New Roman" w:cs="Times New Roman"/>
          <w:i/>
          <w:iCs/>
          <w:sz w:val="24"/>
          <w:szCs w:val="24"/>
        </w:rPr>
        <w:t>docker-compose.yml</w:t>
      </w:r>
      <w:r>
        <w:rPr>
          <w:rFonts w:eastAsia="Times New Roman" w:cs="Times New Roman"/>
          <w:sz w:val="24"/>
          <w:szCs w:val="24"/>
        </w:rPr>
        <w:t xml:space="preserve">. El compose incluye un contenedor </w:t>
      </w:r>
      <w:r>
        <w:rPr>
          <w:rFonts w:eastAsia="Times New Roman" w:cs="Times New Roman"/>
          <w:i/>
          <w:iCs/>
          <w:sz w:val="24"/>
          <w:szCs w:val="24"/>
        </w:rPr>
        <w:t>kafka-init</w:t>
      </w:r>
      <w:r>
        <w:rPr>
          <w:rFonts w:eastAsia="Times New Roman" w:cs="Times New Roman"/>
          <w:sz w:val="24"/>
          <w:szCs w:val="24"/>
        </w:rPr>
        <w:t xml:space="preserve"> que crea explícitamente el topic </w:t>
      </w:r>
      <w:r>
        <w:rPr>
          <w:rFonts w:eastAsia="Times New Roman" w:cs="Times New Roman"/>
          <w:i/>
          <w:iCs/>
          <w:sz w:val="24"/>
          <w:szCs w:val="24"/>
        </w:rPr>
        <w:t>BankAccountEvents</w:t>
      </w:r>
      <w:r>
        <w:rPr>
          <w:rFonts w:eastAsia="Times New Roman" w:cs="Times New Roman"/>
          <w:sz w:val="24"/>
          <w:szCs w:val="24"/>
        </w:rPr>
        <w:t xml:space="preserve"> con </w:t>
      </w:r>
      <w:r>
        <w:rPr>
          <w:rFonts w:eastAsia="Times New Roman" w:cs="Times New Roman"/>
          <w:b/>
          <w:bCs/>
          <w:sz w:val="24"/>
          <w:szCs w:val="24"/>
        </w:rPr>
        <w:t>1 partición</w:t>
      </w:r>
      <w:r>
        <w:rPr>
          <w:rFonts w:eastAsia="Times New Roman" w:cs="Times New Roman"/>
          <w:sz w:val="24"/>
          <w:szCs w:val="24"/>
        </w:rPr>
        <w:t xml:space="preserve"> antes de arrancar los microservicios.</w:t>
      </w:r>
    </w:p>
    <w:p>
      <w:pPr>
        <w:pStyle w:val="Heading1"/>
        <w:rPr/>
      </w:pPr>
      <w:bookmarkStart w:id="14" w:name="__RefHeading___Toc1194_106778696"/>
      <w:bookmarkEnd w:id="14"/>
      <w:r>
        <w:rPr/>
        <w:t>5. Parte 2: Prueba de reproducción de eventos</w:t>
      </w:r>
    </w:p>
    <w:p>
      <w:pPr>
        <w:pStyle w:val="Heading2"/>
        <w:rPr/>
      </w:pPr>
      <w:bookmarkStart w:id="15" w:name="__RefHeading___Toc1196_106778696"/>
      <w:bookmarkEnd w:id="15"/>
      <w:r>
        <w:rPr/>
        <w:t>5.1 Un solo topic en Kafka</w:t>
      </w:r>
    </w:p>
    <w:p>
      <w:pPr>
        <w:pStyle w:val="Normal"/>
        <w:spacing w:lineRule="exact" w:line="264" w:before="0" w:after="120"/>
        <w:jc w:val="both"/>
        <w:rPr/>
      </w:pPr>
      <w:r>
        <w:rPr>
          <w:rFonts w:eastAsia="Times New Roman" w:cs="Times New Roman"/>
          <w:sz w:val="24"/>
          <w:szCs w:val="24"/>
        </w:rPr>
        <w:t xml:space="preserve">Después del cambio, Kafka solo tiene el topic </w:t>
      </w:r>
      <w:r>
        <w:rPr>
          <w:rFonts w:eastAsia="Times New Roman" w:cs="Times New Roman"/>
          <w:i/>
          <w:iCs/>
          <w:sz w:val="24"/>
          <w:szCs w:val="24"/>
        </w:rPr>
        <w:t>BankAccountEvents</w:t>
      </w:r>
      <w:r>
        <w:rPr>
          <w:rFonts w:eastAsia="Times New Roman" w:cs="Times New Roman"/>
          <w:sz w:val="24"/>
          <w:szCs w:val="24"/>
        </w:rPr>
        <w:t xml:space="preserve"> (además del topic interno </w:t>
      </w:r>
      <w:r>
        <w:rPr>
          <w:rFonts w:eastAsia="Times New Roman" w:cs="Times New Roman"/>
          <w:i/>
          <w:iCs/>
          <w:sz w:val="24"/>
          <w:szCs w:val="24"/>
        </w:rPr>
        <w:t>__consumer_offsets</w:t>
      </w:r>
      <w:r>
        <w:rPr>
          <w:rFonts w:eastAsia="Times New Roman" w:cs="Times New Roman"/>
          <w:sz w:val="24"/>
          <w:szCs w:val="24"/>
        </w:rPr>
        <w:t>), con una partición:</w:t>
      </w:r>
    </w:p>
    <w:p>
      <w:pPr>
        <w:pStyle w:val="Normal"/>
        <w:keepNext w:val="true"/>
        <w:spacing w:before="60" w:after="40"/>
        <w:jc w:val="center"/>
        <w:rPr/>
      </w:pPr>
      <w:r>
        <w:rPr/>
        <w:drawing>
          <wp:inline distT="0" distB="0" distL="0" distR="0">
            <wp:extent cx="5943600" cy="857250"/>
            <wp:effectExtent l="0" t="0" r="0" b="0"/>
            <wp:docPr id="19" name="p2-topics" descr="Listado y descripción de los topics de Kafka.&#10;Listado y descripción de los topics de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2-topics" descr="Listado y descripción de los topics de Kafka.&#10;Listado y descripción de los topics de Kafka."/>
                    <pic:cNvPicPr>
                      <a:picLocks noChangeAspect="1" noChangeArrowheads="1"/>
                    </pic:cNvPicPr>
                  </pic:nvPicPr>
                  <pic:blipFill>
                    <a:blip r:embed="rId21"/>
                    <a:stretch>
                      <a:fillRect/>
                    </a:stretch>
                  </pic:blipFill>
                  <pic:spPr bwMode="auto">
                    <a:xfrm>
                      <a:off x="0" y="0"/>
                      <a:ext cx="5943600" cy="857250"/>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19. </w:t>
      </w:r>
      <w:r>
        <w:rPr>
          <w:rFonts w:eastAsia="Times New Roman" w:cs="Times New Roman"/>
          <w:i/>
          <w:iCs/>
          <w:sz w:val="20"/>
          <w:szCs w:val="20"/>
        </w:rPr>
        <w:t>Listado y descripción de los topics de Kafka.</w:t>
      </w:r>
    </w:p>
    <w:p>
      <w:pPr>
        <w:pStyle w:val="Heading2"/>
        <w:rPr/>
      </w:pPr>
      <w:bookmarkStart w:id="16" w:name="__RefHeading___Toc1198_106778696"/>
      <w:bookmarkEnd w:id="16"/>
      <w:r>
        <w:rPr/>
        <w:t>5.2 Serie de operaciones</w:t>
      </w:r>
    </w:p>
    <w:p>
      <w:pPr>
        <w:pStyle w:val="Normal"/>
        <w:spacing w:lineRule="exact" w:line="264" w:before="0" w:after="120"/>
        <w:jc w:val="both"/>
        <w:rPr/>
      </w:pPr>
      <w:r>
        <w:rPr>
          <w:rFonts w:eastAsia="Times New Roman" w:cs="Times New Roman"/>
          <w:sz w:val="24"/>
          <w:szCs w:val="24"/>
        </w:rPr>
        <w:t xml:space="preserve">Se ejecutaron operaciones sobre dos cuentas nuevas: la cuenta </w:t>
      </w:r>
      <w:r>
        <w:rPr>
          <w:rFonts w:eastAsia="Times New Roman" w:cs="Times New Roman"/>
          <w:b/>
          <w:bCs/>
          <w:sz w:val="24"/>
          <w:szCs w:val="24"/>
        </w:rPr>
        <w:t>C</w:t>
      </w:r>
      <w:r>
        <w:rPr>
          <w:rFonts w:eastAsia="Times New Roman" w:cs="Times New Roman"/>
          <w:sz w:val="24"/>
          <w:szCs w:val="24"/>
        </w:rPr>
        <w:t xml:space="preserve"> (Carlos Ruiz) queda activa con saldo 300 + 200 − 100 + 50 = </w:t>
      </w:r>
      <w:r>
        <w:rPr>
          <w:rFonts w:eastAsia="Times New Roman" w:cs="Times New Roman"/>
          <w:b/>
          <w:bCs/>
          <w:sz w:val="24"/>
          <w:szCs w:val="24"/>
        </w:rPr>
        <w:t>450</w:t>
      </w:r>
      <w:r>
        <w:rPr>
          <w:rFonts w:eastAsia="Times New Roman" w:cs="Times New Roman"/>
          <w:sz w:val="24"/>
          <w:szCs w:val="24"/>
        </w:rPr>
        <w:t xml:space="preserve">, y la cuenta </w:t>
      </w:r>
      <w:r>
        <w:rPr>
          <w:rFonts w:eastAsia="Times New Roman" w:cs="Times New Roman"/>
          <w:b/>
          <w:bCs/>
          <w:sz w:val="24"/>
          <w:szCs w:val="24"/>
        </w:rPr>
        <w:t>D</w:t>
      </w:r>
      <w:r>
        <w:rPr>
          <w:rFonts w:eastAsia="Times New Roman" w:cs="Times New Roman"/>
          <w:sz w:val="24"/>
          <w:szCs w:val="24"/>
        </w:rPr>
        <w:t xml:space="preserve"> (Ana Torres) se abre, recibe un depósito y un retiro y se cierra.</w:t>
      </w:r>
    </w:p>
    <w:p>
      <w:pPr>
        <w:pStyle w:val="Normal"/>
        <w:keepNext w:val="true"/>
        <w:spacing w:before="60" w:after="40"/>
        <w:jc w:val="center"/>
        <w:rPr/>
      </w:pPr>
      <w:r>
        <w:rPr/>
        <w:drawing>
          <wp:inline distT="0" distB="0" distL="0" distR="0">
            <wp:extent cx="5943600" cy="3267075"/>
            <wp:effectExtent l="0" t="0" r="0" b="0"/>
            <wp:docPr id="20" name="p2-ops" descr="Operaciones ejecutadas: abrir, depositar, retirar y cerrar cuenta.&#10;Operaciones ejecutadas: abrir, depositar, retirar y cerrar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2-ops" descr="Operaciones ejecutadas: abrir, depositar, retirar y cerrar cuenta.&#10;Operaciones ejecutadas: abrir, depositar, retirar y cerrar cuenta."/>
                    <pic:cNvPicPr>
                      <a:picLocks noChangeAspect="1" noChangeArrowheads="1"/>
                    </pic:cNvPicPr>
                  </pic:nvPicPr>
                  <pic:blipFill>
                    <a:blip r:embed="rId22"/>
                    <a:stretch>
                      <a:fillRect/>
                    </a:stretch>
                  </pic:blipFill>
                  <pic:spPr bwMode="auto">
                    <a:xfrm>
                      <a:off x="0" y="0"/>
                      <a:ext cx="5943600" cy="32670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20. </w:t>
      </w:r>
      <w:r>
        <w:rPr>
          <w:rFonts w:eastAsia="Times New Roman" w:cs="Times New Roman"/>
          <w:i/>
          <w:iCs/>
          <w:sz w:val="20"/>
          <w:szCs w:val="20"/>
        </w:rPr>
        <w:t>Operaciones ejecutadas: abrir, depositar, retirar y cerrar cuenta.</w:t>
      </w:r>
    </w:p>
    <w:p>
      <w:pPr>
        <w:pStyle w:val="Normal"/>
        <w:spacing w:lineRule="exact" w:line="264" w:before="0" w:after="120"/>
        <w:jc w:val="both"/>
        <w:rPr/>
      </w:pPr>
      <w:r>
        <w:rPr>
          <w:rFonts w:eastAsia="Times New Roman" w:cs="Times New Roman"/>
          <w:sz w:val="24"/>
          <w:szCs w:val="24"/>
        </w:rPr>
        <w:t>Los logs muestran que los eventos se consumieron exactamente en el orden en que se produjeron, con offsets consecutivos (6 a 13) y versiones crecientes por agregado:</w:t>
      </w:r>
    </w:p>
    <w:p>
      <w:pPr>
        <w:pStyle w:val="Normal"/>
        <w:keepNext w:val="true"/>
        <w:spacing w:before="60" w:after="40"/>
        <w:jc w:val="center"/>
        <w:rPr/>
      </w:pPr>
      <w:r>
        <w:rPr/>
        <w:drawing>
          <wp:inline distT="0" distB="0" distL="0" distR="0">
            <wp:extent cx="5943600" cy="3505200"/>
            <wp:effectExtent l="0" t="0" r="0" b="0"/>
            <wp:docPr id="21" name="p2-produced-consumed" descr="Orden de producción (account-cmd) y de consumo (account-query).&#10;Orden de producción (account-cmd) y de consumo (account-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2-produced-consumed" descr="Orden de producción (account-cmd) y de consumo (account-query).&#10;Orden de producción (account-cmd) y de consumo (account-query)."/>
                    <pic:cNvPicPr>
                      <a:picLocks noChangeAspect="1" noChangeArrowheads="1"/>
                    </pic:cNvPicPr>
                  </pic:nvPicPr>
                  <pic:blipFill>
                    <a:blip r:embed="rId23"/>
                    <a:stretch>
                      <a:fillRect/>
                    </a:stretch>
                  </pic:blipFill>
                  <pic:spPr bwMode="auto">
                    <a:xfrm>
                      <a:off x="0" y="0"/>
                      <a:ext cx="5943600" cy="3505200"/>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21. </w:t>
      </w:r>
      <w:r>
        <w:rPr>
          <w:rFonts w:eastAsia="Times New Roman" w:cs="Times New Roman"/>
          <w:i/>
          <w:iCs/>
          <w:sz w:val="20"/>
          <w:szCs w:val="20"/>
        </w:rPr>
        <w:t>Orden de producción (account-cmd) y de consumo (account-query).</w:t>
      </w:r>
    </w:p>
    <w:p>
      <w:pPr>
        <w:pStyle w:val="Normal"/>
        <w:spacing w:lineRule="exact" w:line="264" w:before="0" w:after="120"/>
        <w:jc w:val="both"/>
        <w:rPr/>
      </w:pPr>
      <w:r>
        <w:rPr>
          <w:rFonts w:eastAsia="Times New Roman" w:cs="Times New Roman"/>
          <w:sz w:val="24"/>
          <w:szCs w:val="24"/>
        </w:rPr>
        <w:t>El topic almacena todos los eventos de todas las cuentas en un único log ordenado por offset; la key de cada mensaje es el ID de la cuenta:</w:t>
      </w:r>
    </w:p>
    <w:p>
      <w:pPr>
        <w:pStyle w:val="Normal"/>
        <w:keepNext w:val="true"/>
        <w:spacing w:before="60" w:after="40"/>
        <w:jc w:val="center"/>
        <w:rPr/>
      </w:pPr>
      <w:r>
        <w:rPr/>
        <w:drawing>
          <wp:inline distT="0" distB="0" distL="0" distR="0">
            <wp:extent cx="5943600" cy="2371725"/>
            <wp:effectExtent l="0" t="0" r="0" b="0"/>
            <wp:docPr id="22" name="p2-topic-contents" descr="Contenido completo del topic BankAccountEvents (offsets 0 a 13).&#10;Contenido completo del topic BankAccountEvents (offsets 0 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2-topic-contents" descr="Contenido completo del topic BankAccountEvents (offsets 0 a 13).&#10;Contenido completo del topic BankAccountEvents (offsets 0 a 13)."/>
                    <pic:cNvPicPr>
                      <a:picLocks noChangeAspect="1" noChangeArrowheads="1"/>
                    </pic:cNvPicPr>
                  </pic:nvPicPr>
                  <pic:blipFill>
                    <a:blip r:embed="rId24"/>
                    <a:stretch>
                      <a:fillRect/>
                    </a:stretch>
                  </pic:blipFill>
                  <pic:spPr bwMode="auto">
                    <a:xfrm>
                      <a:off x="0" y="0"/>
                      <a:ext cx="5943600" cy="237172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22. </w:t>
      </w:r>
      <w:r>
        <w:rPr>
          <w:rFonts w:eastAsia="Times New Roman" w:cs="Times New Roman"/>
          <w:i/>
          <w:iCs/>
          <w:sz w:val="20"/>
          <w:szCs w:val="20"/>
        </w:rPr>
        <w:t>Contenido completo del topic BankAccountEvents (offsets 0 a 13).</w:t>
      </w:r>
    </w:p>
    <w:p>
      <w:pPr>
        <w:pStyle w:val="Heading2"/>
        <w:rPr/>
      </w:pPr>
      <w:bookmarkStart w:id="17" w:name="__RefHeading___Toc1200_106778696"/>
      <w:bookmarkEnd w:id="17"/>
      <w:r>
        <w:rPr/>
        <w:t>5.3 Reinicio simple del servicio de consulta</w:t>
      </w:r>
    </w:p>
    <w:p>
      <w:pPr>
        <w:pStyle w:val="Normal"/>
        <w:spacing w:lineRule="exact" w:line="264" w:before="0" w:after="120"/>
        <w:jc w:val="both"/>
        <w:rPr/>
      </w:pPr>
      <w:r>
        <w:rPr>
          <w:rFonts w:eastAsia="Times New Roman" w:cs="Times New Roman"/>
          <w:sz w:val="24"/>
          <w:szCs w:val="24"/>
        </w:rPr>
        <w:t xml:space="preserve">Primero se reinició el servicio de consulta sin tocar nada más. Al arrancar, el consumer group </w:t>
      </w:r>
      <w:r>
        <w:rPr>
          <w:rFonts w:eastAsia="Times New Roman" w:cs="Times New Roman"/>
          <w:i/>
          <w:iCs/>
          <w:sz w:val="24"/>
          <w:szCs w:val="24"/>
        </w:rPr>
        <w:t>bankaccConsumer</w:t>
      </w:r>
      <w:r>
        <w:rPr>
          <w:rFonts w:eastAsia="Times New Roman" w:cs="Times New Roman"/>
          <w:sz w:val="24"/>
          <w:szCs w:val="24"/>
        </w:rPr>
        <w:t xml:space="preserve"> retoma desde su </w:t>
      </w:r>
      <w:r>
        <w:rPr>
          <w:rFonts w:eastAsia="Times New Roman" w:cs="Times New Roman"/>
          <w:b/>
          <w:bCs/>
          <w:sz w:val="24"/>
          <w:szCs w:val="24"/>
        </w:rPr>
        <w:t>offset confirmado (14)</w:t>
      </w:r>
      <w:r>
        <w:rPr>
          <w:rFonts w:eastAsia="Times New Roman" w:cs="Times New Roman"/>
          <w:sz w:val="24"/>
          <w:szCs w:val="24"/>
        </w:rPr>
        <w:t xml:space="preserve">, que ya es el final del topic (LAG = 0), así que no vuelve a procesar ningún evento: hay 0 líneas CONSUMED tras el reinicio. Es el comportamiento correcto, porque el modelo de lectura ya está al día; la propiedad </w:t>
      </w:r>
      <w:r>
        <w:rPr>
          <w:rFonts w:eastAsia="Times New Roman" w:cs="Times New Roman"/>
          <w:i/>
          <w:iCs/>
          <w:sz w:val="24"/>
          <w:szCs w:val="24"/>
        </w:rPr>
        <w:t>auto-offset-reset: earliest</w:t>
      </w:r>
      <w:r>
        <w:rPr>
          <w:rFonts w:eastAsia="Times New Roman" w:cs="Times New Roman"/>
          <w:sz w:val="24"/>
          <w:szCs w:val="24"/>
        </w:rPr>
        <w:t xml:space="preserve"> solo aplica cuando el grupo no tiene offsets confirmados.</w:t>
      </w:r>
    </w:p>
    <w:p>
      <w:pPr>
        <w:pStyle w:val="Normal"/>
        <w:keepNext w:val="true"/>
        <w:spacing w:before="60" w:after="40"/>
        <w:jc w:val="center"/>
        <w:rPr/>
      </w:pPr>
      <w:r>
        <w:rPr/>
        <w:drawing>
          <wp:inline distT="0" distB="0" distL="0" distR="0">
            <wp:extent cx="5943600" cy="1800225"/>
            <wp:effectExtent l="0" t="0" r="0" b="0"/>
            <wp:docPr id="23" name="p2-restart-simple" descr="Reinicio simple: el consumidor retoma en el offset 14 y no reprocesa eventos.&#10;Reinicio simple: el consumidor retoma en el offset 14 y no reprocesa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2-restart-simple" descr="Reinicio simple: el consumidor retoma en el offset 14 y no reprocesa eventos.&#10;Reinicio simple: el consumidor retoma en el offset 14 y no reprocesa eventos."/>
                    <pic:cNvPicPr>
                      <a:picLocks noChangeAspect="1" noChangeArrowheads="1"/>
                    </pic:cNvPicPr>
                  </pic:nvPicPr>
                  <pic:blipFill>
                    <a:blip r:embed="rId25"/>
                    <a:stretch>
                      <a:fillRect/>
                    </a:stretch>
                  </pic:blipFill>
                  <pic:spPr bwMode="auto">
                    <a:xfrm>
                      <a:off x="0" y="0"/>
                      <a:ext cx="5943600" cy="180022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23. </w:t>
      </w:r>
      <w:r>
        <w:rPr>
          <w:rFonts w:eastAsia="Times New Roman" w:cs="Times New Roman"/>
          <w:i/>
          <w:iCs/>
          <w:sz w:val="20"/>
          <w:szCs w:val="20"/>
        </w:rPr>
        <w:t>Reinicio simple: el consumidor retoma en el offset 14 y no reprocesa eventos.</w:t>
      </w:r>
    </w:p>
    <w:p>
      <w:pPr>
        <w:pStyle w:val="Heading2"/>
        <w:rPr/>
      </w:pPr>
      <w:bookmarkStart w:id="18" w:name="__RefHeading___Toc1202_106778696"/>
      <w:bookmarkEnd w:id="18"/>
      <w:r>
        <w:rPr/>
        <w:t>5.4 Reproducción completa de los eventos</w:t>
      </w:r>
    </w:p>
    <w:p>
      <w:pPr>
        <w:pStyle w:val="Normal"/>
        <w:spacing w:lineRule="exact" w:line="264" w:before="0" w:after="120"/>
        <w:jc w:val="both"/>
        <w:rPr/>
      </w:pPr>
      <w:r>
        <w:rPr>
          <w:rFonts w:eastAsia="Times New Roman" w:cs="Times New Roman"/>
          <w:sz w:val="24"/>
          <w:szCs w:val="24"/>
        </w:rPr>
        <w:t>Para observar la reproducción completa se simuló la reconstrucción del lado de lectura desde cero:</w:t>
      </w:r>
    </w:p>
    <w:p>
      <w:pPr>
        <w:pStyle w:val="ListParagraph"/>
        <w:numPr>
          <w:ilvl w:val="0"/>
          <w:numId w:val="4"/>
        </w:numPr>
        <w:spacing w:lineRule="exact" w:line="264" w:before="0" w:after="60"/>
        <w:rPr/>
      </w:pPr>
      <w:r>
        <w:rPr>
          <w:rFonts w:eastAsia="Times New Roman" w:cs="Times New Roman"/>
          <w:sz w:val="24"/>
          <w:szCs w:val="24"/>
        </w:rPr>
        <w:t xml:space="preserve">Se detuvo el contenedor </w:t>
      </w:r>
      <w:r>
        <w:rPr>
          <w:rFonts w:eastAsia="Times New Roman" w:cs="Times New Roman"/>
          <w:i/>
          <w:iCs/>
          <w:sz w:val="24"/>
          <w:szCs w:val="24"/>
        </w:rPr>
        <w:t>account-query</w:t>
      </w:r>
      <w:r>
        <w:rPr>
          <w:rFonts w:eastAsia="Times New Roman" w:cs="Times New Roman"/>
          <w:sz w:val="24"/>
          <w:szCs w:val="24"/>
        </w:rPr>
        <w:t>.</w:t>
      </w:r>
    </w:p>
    <w:p>
      <w:pPr>
        <w:pStyle w:val="ListParagraph"/>
        <w:numPr>
          <w:ilvl w:val="0"/>
          <w:numId w:val="1"/>
        </w:numPr>
        <w:spacing w:lineRule="exact" w:line="264" w:before="0" w:after="60"/>
        <w:rPr/>
      </w:pPr>
      <w:r>
        <w:rPr>
          <w:rFonts w:eastAsia="Times New Roman" w:cs="Times New Roman"/>
          <w:sz w:val="24"/>
          <w:szCs w:val="24"/>
        </w:rPr>
        <w:t xml:space="preserve">Se eliminó la base de datos de lectura </w:t>
      </w:r>
      <w:r>
        <w:rPr>
          <w:rFonts w:eastAsia="Times New Roman" w:cs="Times New Roman"/>
          <w:i/>
          <w:iCs/>
          <w:sz w:val="24"/>
          <w:szCs w:val="24"/>
        </w:rPr>
        <w:t>bankAccount</w:t>
      </w:r>
      <w:r>
        <w:rPr>
          <w:rFonts w:eastAsia="Times New Roman" w:cs="Times New Roman"/>
          <w:sz w:val="24"/>
          <w:szCs w:val="24"/>
        </w:rPr>
        <w:t xml:space="preserve"> en MySQL.</w:t>
      </w:r>
    </w:p>
    <w:p>
      <w:pPr>
        <w:pStyle w:val="ListParagraph"/>
        <w:numPr>
          <w:ilvl w:val="0"/>
          <w:numId w:val="1"/>
        </w:numPr>
        <w:spacing w:lineRule="exact" w:line="264" w:before="0" w:after="60"/>
        <w:rPr/>
      </w:pPr>
      <w:r>
        <w:rPr>
          <w:rFonts w:eastAsia="Times New Roman" w:cs="Times New Roman"/>
          <w:sz w:val="24"/>
          <w:szCs w:val="24"/>
        </w:rPr>
        <w:t xml:space="preserve">Se reiniciaron los offsets del consumer group </w:t>
      </w:r>
      <w:r>
        <w:rPr>
          <w:rFonts w:eastAsia="Times New Roman" w:cs="Times New Roman"/>
          <w:i/>
          <w:iCs/>
          <w:sz w:val="24"/>
          <w:szCs w:val="24"/>
        </w:rPr>
        <w:t>bankaccConsumer</w:t>
      </w:r>
      <w:r>
        <w:rPr>
          <w:rFonts w:eastAsia="Times New Roman" w:cs="Times New Roman"/>
          <w:sz w:val="24"/>
          <w:szCs w:val="24"/>
        </w:rPr>
        <w:t xml:space="preserve"> al inicio del topic (</w:t>
      </w:r>
      <w:r>
        <w:rPr>
          <w:rFonts w:eastAsia="Times New Roman" w:cs="Times New Roman"/>
          <w:i/>
          <w:iCs/>
          <w:sz w:val="24"/>
          <w:szCs w:val="24"/>
        </w:rPr>
        <w:t>--reset-offsets --to-earliest</w:t>
      </w:r>
      <w:r>
        <w:rPr>
          <w:rFonts w:eastAsia="Times New Roman" w:cs="Times New Roman"/>
          <w:sz w:val="24"/>
          <w:szCs w:val="24"/>
        </w:rPr>
        <w:t>).</w:t>
      </w:r>
    </w:p>
    <w:p>
      <w:pPr>
        <w:pStyle w:val="ListParagraph"/>
        <w:numPr>
          <w:ilvl w:val="0"/>
          <w:numId w:val="1"/>
        </w:numPr>
        <w:spacing w:lineRule="exact" w:line="264" w:before="0" w:after="60"/>
        <w:rPr/>
      </w:pPr>
      <w:r>
        <w:rPr>
          <w:rFonts w:eastAsia="Times New Roman" w:cs="Times New Roman"/>
          <w:sz w:val="24"/>
          <w:szCs w:val="24"/>
        </w:rPr>
        <w:t xml:space="preserve">Se volvió a iniciar </w:t>
      </w:r>
      <w:r>
        <w:rPr>
          <w:rFonts w:eastAsia="Times New Roman" w:cs="Times New Roman"/>
          <w:i/>
          <w:iCs/>
          <w:sz w:val="24"/>
          <w:szCs w:val="24"/>
        </w:rPr>
        <w:t>account-query</w:t>
      </w:r>
      <w:r>
        <w:rPr>
          <w:rFonts w:eastAsia="Times New Roman" w:cs="Times New Roman"/>
          <w:sz w:val="24"/>
          <w:szCs w:val="24"/>
        </w:rPr>
        <w:t>: Hibernate recrea la tabla (</w:t>
      </w:r>
      <w:r>
        <w:rPr>
          <w:rFonts w:eastAsia="Times New Roman" w:cs="Times New Roman"/>
          <w:i/>
          <w:iCs/>
          <w:sz w:val="24"/>
          <w:szCs w:val="24"/>
        </w:rPr>
        <w:t>ddl-auto: update</w:t>
      </w:r>
      <w:r>
        <w:rPr>
          <w:rFonts w:eastAsia="Times New Roman" w:cs="Times New Roman"/>
          <w:sz w:val="24"/>
          <w:szCs w:val="24"/>
        </w:rPr>
        <w:t>) y el consumidor lee desde el offset 0.</w:t>
      </w:r>
    </w:p>
    <w:p>
      <w:pPr>
        <w:pStyle w:val="Normal"/>
        <w:spacing w:before="0" w:after="40"/>
        <w:rPr/>
      </w:pPr>
      <w:r>
        <w:rPr/>
      </w:r>
    </w:p>
    <w:p>
      <w:pPr>
        <w:pStyle w:val="Normal"/>
        <w:keepNext w:val="true"/>
        <w:spacing w:before="60" w:after="40"/>
        <w:jc w:val="center"/>
        <w:rPr/>
      </w:pPr>
      <w:r>
        <w:rPr/>
        <w:drawing>
          <wp:inline distT="0" distB="0" distL="0" distR="0">
            <wp:extent cx="5943600" cy="2647950"/>
            <wp:effectExtent l="0" t="0" r="0" b="0"/>
            <wp:docPr id="24" name="p2-replay-steps" descr="Preparación de la reproducción: detener, borrar la base de lectura y reiniciar offsets.&#10;Preparación de la reproducción: detener, borrar la base de lectura y reiniciar off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2-replay-steps" descr="Preparación de la reproducción: detener, borrar la base de lectura y reiniciar offsets.&#10;Preparación de la reproducción: detener, borrar la base de lectura y reiniciar offsets."/>
                    <pic:cNvPicPr>
                      <a:picLocks noChangeAspect="1" noChangeArrowheads="1"/>
                    </pic:cNvPicPr>
                  </pic:nvPicPr>
                  <pic:blipFill>
                    <a:blip r:embed="rId26"/>
                    <a:stretch>
                      <a:fillRect/>
                    </a:stretch>
                  </pic:blipFill>
                  <pic:spPr bwMode="auto">
                    <a:xfrm>
                      <a:off x="0" y="0"/>
                      <a:ext cx="5943600" cy="2647950"/>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24. </w:t>
      </w:r>
      <w:r>
        <w:rPr>
          <w:rFonts w:eastAsia="Times New Roman" w:cs="Times New Roman"/>
          <w:i/>
          <w:iCs/>
          <w:sz w:val="20"/>
          <w:szCs w:val="20"/>
        </w:rPr>
        <w:t>Preparación de la reproducción: detener, borrar la base de lectura y reiniciar offsets.</w:t>
      </w:r>
    </w:p>
    <w:p>
      <w:pPr>
        <w:pStyle w:val="Normal"/>
        <w:spacing w:lineRule="exact" w:line="264" w:before="0" w:after="120"/>
        <w:jc w:val="both"/>
        <w:rPr/>
      </w:pPr>
      <w:r>
        <w:rPr>
          <w:rFonts w:eastAsia="Times New Roman" w:cs="Times New Roman"/>
          <w:sz w:val="24"/>
          <w:szCs w:val="24"/>
        </w:rPr>
        <w:t xml:space="preserve">Los logs del servicio de consulta muestran que se reprodujeron los </w:t>
      </w:r>
      <w:r>
        <w:rPr>
          <w:rFonts w:eastAsia="Times New Roman" w:cs="Times New Roman"/>
          <w:b/>
          <w:bCs/>
          <w:sz w:val="24"/>
          <w:szCs w:val="24"/>
        </w:rPr>
        <w:t>14 eventos en estricto orden de offset (0 → 13)</w:t>
      </w:r>
      <w:r>
        <w:rPr>
          <w:rFonts w:eastAsia="Times New Roman" w:cs="Times New Roman"/>
          <w:sz w:val="24"/>
          <w:szCs w:val="24"/>
        </w:rPr>
        <w:t xml:space="preserve">: primero los de las cuentas A y B de la Parte 1 (incluido el </w:t>
      </w:r>
      <w:r>
        <w:rPr>
          <w:rFonts w:eastAsia="Times New Roman" w:cs="Times New Roman"/>
          <w:i/>
          <w:iCs/>
          <w:sz w:val="24"/>
          <w:szCs w:val="24"/>
        </w:rPr>
        <w:t>AccountOpenedEvent</w:t>
      </w:r>
      <w:r>
        <w:rPr>
          <w:rFonts w:eastAsia="Times New Roman" w:cs="Times New Roman"/>
          <w:sz w:val="24"/>
          <w:szCs w:val="24"/>
        </w:rPr>
        <w:t xml:space="preserve"> republicado por el restore), luego los de C y finalmente los de D. Para cada cuenta el orden de versiones es siempre 0, 1, 2, 3: nunca se aplica un depósito antes de la apertura ni un cierre antes de un movimiento. Al terminar, el consumer group queda de nuevo en el offset 14 con LAG 0.</w:t>
      </w:r>
    </w:p>
    <w:p>
      <w:pPr>
        <w:pStyle w:val="Normal"/>
        <w:keepNext w:val="true"/>
        <w:spacing w:before="60" w:after="40"/>
        <w:jc w:val="center"/>
        <w:rPr/>
      </w:pPr>
      <w:r>
        <w:rPr/>
        <w:drawing>
          <wp:inline distT="0" distB="0" distL="0" distR="0">
            <wp:extent cx="5943600" cy="4162425"/>
            <wp:effectExtent l="0" t="0" r="0" b="0"/>
            <wp:docPr id="25" name="p2-replay-logs" descr="Reproducción completa: eventos consumidos en orden de offset 0 a 13.&#10;Reproducción completa: eventos consumidos en orden de offset 0 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2-replay-logs" descr="Reproducción completa: eventos consumidos en orden de offset 0 a 13.&#10;Reproducción completa: eventos consumidos en orden de offset 0 a 13."/>
                    <pic:cNvPicPr>
                      <a:picLocks noChangeAspect="1" noChangeArrowheads="1"/>
                    </pic:cNvPicPr>
                  </pic:nvPicPr>
                  <pic:blipFill>
                    <a:blip r:embed="rId27"/>
                    <a:stretch>
                      <a:fillRect/>
                    </a:stretch>
                  </pic:blipFill>
                  <pic:spPr bwMode="auto">
                    <a:xfrm>
                      <a:off x="0" y="0"/>
                      <a:ext cx="5943600" cy="416242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25. </w:t>
      </w:r>
      <w:r>
        <w:rPr>
          <w:rFonts w:eastAsia="Times New Roman" w:cs="Times New Roman"/>
          <w:i/>
          <w:iCs/>
          <w:sz w:val="20"/>
          <w:szCs w:val="20"/>
        </w:rPr>
        <w:t>Reproducción completa: eventos consumidos en orden de offset 0 a 13.</w:t>
      </w:r>
    </w:p>
    <w:p>
      <w:pPr>
        <w:pStyle w:val="Heading2"/>
        <w:rPr/>
      </w:pPr>
      <w:bookmarkStart w:id="19" w:name="__RefHeading___Toc1204_106778696"/>
      <w:bookmarkEnd w:id="19"/>
      <w:r>
        <w:rPr/>
        <w:t>5.5 Resultado: el modelo de lectura reconstruido es idéntico</w:t>
      </w:r>
    </w:p>
    <w:p>
      <w:pPr>
        <w:pStyle w:val="Normal"/>
        <w:spacing w:lineRule="exact" w:line="264" w:before="0" w:after="120"/>
        <w:jc w:val="both"/>
        <w:rPr/>
      </w:pPr>
      <w:r>
        <w:rPr>
          <w:rFonts w:eastAsia="Times New Roman" w:cs="Times New Roman"/>
          <w:sz w:val="24"/>
          <w:szCs w:val="24"/>
        </w:rPr>
        <w:t>El estado del modelo de lectura después de la reproducción es exactamente igual al que había antes:</w:t>
      </w:r>
    </w:p>
    <w:p>
      <w:pPr>
        <w:pStyle w:val="Normal"/>
        <w:keepNext w:val="true"/>
        <w:spacing w:before="60" w:after="40"/>
        <w:jc w:val="center"/>
        <w:rPr/>
      </w:pPr>
      <w:r>
        <w:rPr/>
        <w:drawing>
          <wp:inline distT="0" distB="0" distL="0" distR="0">
            <wp:extent cx="4476750" cy="2457450"/>
            <wp:effectExtent l="0" t="0" r="0" b="0"/>
            <wp:docPr id="26" name="p2-09-lookup-all-before-replay" descr="Modelo de lectura ANTES de la reproducción.&#10;Modelo de lectura ANTES de la re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2-09-lookup-all-before-replay" descr="Modelo de lectura ANTES de la reproducción.&#10;Modelo de lectura ANTES de la reproducción."/>
                    <pic:cNvPicPr>
                      <a:picLocks noChangeAspect="1" noChangeArrowheads="1"/>
                    </pic:cNvPicPr>
                  </pic:nvPicPr>
                  <pic:blipFill>
                    <a:blip r:embed="rId28"/>
                    <a:stretch>
                      <a:fillRect/>
                    </a:stretch>
                  </pic:blipFill>
                  <pic:spPr bwMode="auto">
                    <a:xfrm>
                      <a:off x="0" y="0"/>
                      <a:ext cx="4476750" cy="2457450"/>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26. </w:t>
      </w:r>
      <w:r>
        <w:rPr>
          <w:rFonts w:eastAsia="Times New Roman" w:cs="Times New Roman"/>
          <w:i/>
          <w:iCs/>
          <w:sz w:val="20"/>
          <w:szCs w:val="20"/>
        </w:rPr>
        <w:t>Modelo de lectura ANTES de la reproducción.</w:t>
      </w:r>
    </w:p>
    <w:p>
      <w:pPr>
        <w:pStyle w:val="Normal"/>
        <w:keepNext w:val="true"/>
        <w:spacing w:before="60" w:after="40"/>
        <w:jc w:val="center"/>
        <w:rPr/>
      </w:pPr>
      <w:r>
        <w:rPr/>
        <w:drawing>
          <wp:inline distT="0" distB="0" distL="0" distR="0">
            <wp:extent cx="4476750" cy="2457450"/>
            <wp:effectExtent l="0" t="0" r="0" b="0"/>
            <wp:docPr id="27" name="p2-22-lookup-all-after-replay" descr="Modelo de lectura DESPUÉS de la reproducción.&#10;Modelo de lectura DESPUÉS de la re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2-22-lookup-all-after-replay" descr="Modelo de lectura DESPUÉS de la reproducción.&#10;Modelo de lectura DESPUÉS de la reproducción."/>
                    <pic:cNvPicPr>
                      <a:picLocks noChangeAspect="1" noChangeArrowheads="1"/>
                    </pic:cNvPicPr>
                  </pic:nvPicPr>
                  <pic:blipFill>
                    <a:blip r:embed="rId29"/>
                    <a:stretch>
                      <a:fillRect/>
                    </a:stretch>
                  </pic:blipFill>
                  <pic:spPr bwMode="auto">
                    <a:xfrm>
                      <a:off x="0" y="0"/>
                      <a:ext cx="4476750" cy="2457450"/>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27. </w:t>
      </w:r>
      <w:r>
        <w:rPr>
          <w:rFonts w:eastAsia="Times New Roman" w:cs="Times New Roman"/>
          <w:i/>
          <w:iCs/>
          <w:sz w:val="20"/>
          <w:szCs w:val="20"/>
        </w:rPr>
        <w:t>Modelo de lectura DESPUÉS de la reproducción.</w:t>
      </w:r>
    </w:p>
    <w:tbl>
      <w:tblPr>
        <w:tblW w:w="9360" w:type="dxa"/>
        <w:jc w:val="left"/>
        <w:tblInd w:w="0" w:type="dxa"/>
        <w:tblLayout w:type="fixed"/>
        <w:tblCellMar>
          <w:top w:w="50" w:type="dxa"/>
          <w:left w:w="90" w:type="dxa"/>
          <w:bottom w:w="50" w:type="dxa"/>
          <w:right w:w="90" w:type="dxa"/>
        </w:tblCellMar>
      </w:tblPr>
      <w:tblGrid>
        <w:gridCol w:w="1699"/>
        <w:gridCol w:w="4560"/>
        <w:gridCol w:w="1301"/>
        <w:gridCol w:w="1799"/>
      </w:tblGrid>
      <w:tr>
        <w:trPr>
          <w:tblHeader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Cuenta</w:t>
            </w:r>
          </w:p>
        </w:tc>
        <w:tc>
          <w:tcPr>
            <w:tcW w:w="45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Eventos (en orden)</w:t>
            </w:r>
          </w:p>
        </w:tc>
        <w:tc>
          <w:tcPr>
            <w:tcW w:w="13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Esperado</w:t>
            </w:r>
          </w:p>
        </w:tc>
        <w:tc>
          <w:tcPr>
            <w:tcW w:w="17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b/>
                <w:bCs/>
                <w:sz w:val="20"/>
                <w:szCs w:val="20"/>
              </w:rPr>
              <w:t>Después del replay</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A: Juan Perez</w:t>
            </w:r>
          </w:p>
        </w:tc>
        <w:tc>
          <w:tcPr>
            <w:tcW w:w="45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Opened(1000) → Deposited(500) → Withdrawn(200) → Closed</w:t>
            </w:r>
          </w:p>
        </w:tc>
        <w:tc>
          <w:tcPr>
            <w:tcW w:w="13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Eliminada</w:t>
            </w:r>
          </w:p>
        </w:tc>
        <w:tc>
          <w:tcPr>
            <w:tcW w:w="17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No aparece</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B: Maria Gomez</w:t>
            </w:r>
          </w:p>
        </w:tc>
        <w:tc>
          <w:tcPr>
            <w:tcW w:w="45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Opened(5000) → Opened(5000, republicado)</w:t>
            </w:r>
          </w:p>
        </w:tc>
        <w:tc>
          <w:tcPr>
            <w:tcW w:w="13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5000</w:t>
            </w:r>
          </w:p>
        </w:tc>
        <w:tc>
          <w:tcPr>
            <w:tcW w:w="17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5000.0</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C: Carlos Ruiz</w:t>
            </w:r>
          </w:p>
        </w:tc>
        <w:tc>
          <w:tcPr>
            <w:tcW w:w="45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Opened(300) → Deposited(200) → Withdrawn(100) → Deposited(50)</w:t>
            </w:r>
          </w:p>
        </w:tc>
        <w:tc>
          <w:tcPr>
            <w:tcW w:w="13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450</w:t>
            </w:r>
          </w:p>
        </w:tc>
        <w:tc>
          <w:tcPr>
            <w:tcW w:w="17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450.0</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D: Ana Torres</w:t>
            </w:r>
          </w:p>
        </w:tc>
        <w:tc>
          <w:tcPr>
            <w:tcW w:w="4560"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Opened(800) → Deposited(100) → Withdrawn(300) → Closed</w:t>
            </w:r>
          </w:p>
        </w:tc>
        <w:tc>
          <w:tcPr>
            <w:tcW w:w="1301"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Eliminada</w:t>
            </w:r>
          </w:p>
        </w:tc>
        <w:tc>
          <w:tcPr>
            <w:tcW w:w="1799" w:type="dxa"/>
            <w:tcBorders>
              <w:top w:val="single" w:sz="4" w:space="0" w:color="000000"/>
              <w:left w:val="single" w:sz="4" w:space="0" w:color="000000"/>
              <w:bottom w:val="single" w:sz="4" w:space="0" w:color="000000"/>
              <w:right w:val="single" w:sz="4" w:space="0" w:color="000000"/>
            </w:tcBorders>
          </w:tcPr>
          <w:p>
            <w:pPr>
              <w:pStyle w:val="Normal"/>
              <w:keepNext w:val="false"/>
              <w:keepLines/>
              <w:rPr/>
            </w:pPr>
            <w:r>
              <w:rPr>
                <w:rFonts w:eastAsia="Times New Roman" w:cs="Times New Roman"/>
                <w:sz w:val="20"/>
                <w:szCs w:val="20"/>
              </w:rPr>
              <w:t>204 No Content</w:t>
            </w:r>
          </w:p>
        </w:tc>
      </w:tr>
    </w:tbl>
    <w:p>
      <w:pPr>
        <w:pStyle w:val="Normal"/>
        <w:spacing w:before="0" w:after="80"/>
        <w:rPr/>
      </w:pPr>
      <w:r>
        <w:rPr/>
      </w:r>
    </w:p>
    <w:p>
      <w:pPr>
        <w:pStyle w:val="Normal"/>
        <w:keepNext w:val="true"/>
        <w:spacing w:before="60" w:after="40"/>
        <w:jc w:val="center"/>
        <w:rPr/>
      </w:pPr>
      <w:r>
        <w:rPr/>
        <w:drawing>
          <wp:inline distT="0" distB="0" distL="0" distR="0">
            <wp:extent cx="4476750" cy="1857375"/>
            <wp:effectExtent l="0" t="0" r="0" b="0"/>
            <wp:docPr id="28" name="p2-23-lookup-C-after-replay" descr="Cuenta C después de la reproducción: saldo 450.&#10;Cuenta C después de la reproducción: saldo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2-23-lookup-C-after-replay" descr="Cuenta C después de la reproducción: saldo 450.&#10;Cuenta C después de la reproducción: saldo 450."/>
                    <pic:cNvPicPr>
                      <a:picLocks noChangeAspect="1" noChangeArrowheads="1"/>
                    </pic:cNvPicPr>
                  </pic:nvPicPr>
                  <pic:blipFill>
                    <a:blip r:embed="rId30"/>
                    <a:stretch>
                      <a:fillRect/>
                    </a:stretch>
                  </pic:blipFill>
                  <pic:spPr bwMode="auto">
                    <a:xfrm>
                      <a:off x="0" y="0"/>
                      <a:ext cx="4476750" cy="18573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28. </w:t>
      </w:r>
      <w:r>
        <w:rPr>
          <w:rFonts w:eastAsia="Times New Roman" w:cs="Times New Roman"/>
          <w:i/>
          <w:iCs/>
          <w:sz w:val="20"/>
          <w:szCs w:val="20"/>
        </w:rPr>
        <w:t>Cuenta C después de la reproducción: saldo 450.</w:t>
      </w:r>
    </w:p>
    <w:p>
      <w:pPr>
        <w:pStyle w:val="Normal"/>
        <w:keepNext w:val="true"/>
        <w:spacing w:before="60" w:after="40"/>
        <w:jc w:val="center"/>
        <w:rPr/>
      </w:pPr>
      <w:r>
        <w:rPr/>
        <w:drawing>
          <wp:inline distT="0" distB="0" distL="0" distR="0">
            <wp:extent cx="4476750" cy="904875"/>
            <wp:effectExtent l="0" t="0" r="0" b="0"/>
            <wp:docPr id="29" name="p2-24-lookup-D-after-replay" descr="Cuenta D (cerrada) después de la reproducción: 204 No Content.&#10;Cuenta D (cerrada) después de la reproducción: 204 No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2-24-lookup-D-after-replay" descr="Cuenta D (cerrada) después de la reproducción: 204 No Content.&#10;Cuenta D (cerrada) después de la reproducción: 204 No Content."/>
                    <pic:cNvPicPr>
                      <a:picLocks noChangeAspect="1" noChangeArrowheads="1"/>
                    </pic:cNvPicPr>
                  </pic:nvPicPr>
                  <pic:blipFill>
                    <a:blip r:embed="rId31"/>
                    <a:stretch>
                      <a:fillRect/>
                    </a:stretch>
                  </pic:blipFill>
                  <pic:spPr bwMode="auto">
                    <a:xfrm>
                      <a:off x="0" y="0"/>
                      <a:ext cx="4476750" cy="904875"/>
                    </a:xfrm>
                    <a:prstGeom prst="rect">
                      <a:avLst/>
                    </a:prstGeom>
                  </pic:spPr>
                </pic:pic>
              </a:graphicData>
            </a:graphic>
          </wp:inline>
        </w:drawing>
      </w:r>
    </w:p>
    <w:p>
      <w:pPr>
        <w:pStyle w:val="Normal"/>
        <w:spacing w:before="0" w:after="160"/>
        <w:jc w:val="center"/>
        <w:rPr/>
      </w:pPr>
      <w:r>
        <w:rPr>
          <w:rFonts w:eastAsia="Times New Roman" w:cs="Times New Roman"/>
          <w:b/>
          <w:bCs/>
          <w:i/>
          <w:iCs/>
          <w:sz w:val="20"/>
          <w:szCs w:val="20"/>
        </w:rPr>
        <w:t xml:space="preserve">Figura 29. </w:t>
      </w:r>
      <w:r>
        <w:rPr>
          <w:rFonts w:eastAsia="Times New Roman" w:cs="Times New Roman"/>
          <w:i/>
          <w:iCs/>
          <w:sz w:val="20"/>
          <w:szCs w:val="20"/>
        </w:rPr>
        <w:t>Cuenta D (cerrada) después de la reproducción: 204 No Content.</w:t>
      </w:r>
    </w:p>
    <w:p>
      <w:pPr>
        <w:pStyle w:val="Heading1"/>
        <w:rPr/>
      </w:pPr>
      <w:bookmarkStart w:id="20" w:name="__RefHeading___Toc1206_106778696"/>
      <w:bookmarkEnd w:id="20"/>
      <w:r>
        <w:rPr/>
        <w:t>6. Cómo se garantiza el orden y por qué es importante</w:t>
      </w:r>
    </w:p>
    <w:p>
      <w:pPr>
        <w:pStyle w:val="Heading2"/>
        <w:rPr/>
      </w:pPr>
      <w:bookmarkStart w:id="21" w:name="__RefHeading___Toc1208_106778696"/>
      <w:bookmarkEnd w:id="21"/>
      <w:r>
        <w:rPr/>
        <w:t>6.1 Cómo se garantiza</w:t>
      </w:r>
    </w:p>
    <w:p>
      <w:pPr>
        <w:pStyle w:val="ListParagraph"/>
        <w:numPr>
          <w:ilvl w:val="0"/>
          <w:numId w:val="5"/>
        </w:numPr>
        <w:spacing w:lineRule="exact" w:line="264" w:before="0" w:after="60"/>
        <w:jc w:val="both"/>
        <w:rPr/>
      </w:pPr>
      <w:r>
        <w:rPr>
          <w:rFonts w:eastAsia="Times New Roman" w:cs="Times New Roman"/>
          <w:b/>
          <w:bCs/>
          <w:sz w:val="24"/>
          <w:szCs w:val="24"/>
        </w:rPr>
        <w:t>Un único topic y una única partición.</w:t>
      </w:r>
      <w:r>
        <w:rPr>
          <w:rFonts w:eastAsia="Times New Roman" w:cs="Times New Roman"/>
          <w:sz w:val="24"/>
          <w:szCs w:val="24"/>
        </w:rPr>
        <w:t xml:space="preserve"> Kafka es un log append-only y, dentro de una partición, cada mensaje recibe un offset creciente. Todos los eventos se escriben en </w:t>
      </w:r>
      <w:r>
        <w:rPr>
          <w:rFonts w:eastAsia="Times New Roman" w:cs="Times New Roman"/>
          <w:i/>
          <w:iCs/>
          <w:sz w:val="24"/>
          <w:szCs w:val="24"/>
        </w:rPr>
        <w:t>BankAccountEvents</w:t>
      </w:r>
      <w:r>
        <w:rPr>
          <w:rFonts w:eastAsia="Times New Roman" w:cs="Times New Roman"/>
          <w:sz w:val="24"/>
          <w:szCs w:val="24"/>
        </w:rPr>
        <w:t>, así que su orden queda fijado por el orden de escritura.</w:t>
      </w:r>
    </w:p>
    <w:p>
      <w:pPr>
        <w:pStyle w:val="ListParagraph"/>
        <w:numPr>
          <w:ilvl w:val="0"/>
          <w:numId w:val="2"/>
        </w:numPr>
        <w:spacing w:lineRule="exact" w:line="264" w:before="0" w:after="60"/>
        <w:jc w:val="both"/>
        <w:rPr/>
      </w:pPr>
      <w:r>
        <w:rPr>
          <w:rFonts w:eastAsia="Times New Roman" w:cs="Times New Roman"/>
          <w:b/>
          <w:bCs/>
          <w:sz w:val="24"/>
          <w:szCs w:val="24"/>
        </w:rPr>
        <w:t>Un único listener.</w:t>
      </w:r>
      <w:r>
        <w:rPr>
          <w:rFonts w:eastAsia="Times New Roman" w:cs="Times New Roman"/>
          <w:sz w:val="24"/>
          <w:szCs w:val="24"/>
        </w:rPr>
        <w:t xml:space="preserve"> El servicio de consulta tiene un solo </w:t>
      </w:r>
      <w:r>
        <w:rPr>
          <w:rFonts w:eastAsia="Times New Roman" w:cs="Times New Roman"/>
          <w:i/>
          <w:iCs/>
          <w:sz w:val="24"/>
          <w:szCs w:val="24"/>
        </w:rPr>
        <w:t>@KafkaListener</w:t>
      </w:r>
      <w:r>
        <w:rPr>
          <w:rFonts w:eastAsia="Times New Roman" w:cs="Times New Roman"/>
          <w:sz w:val="24"/>
          <w:szCs w:val="24"/>
        </w:rPr>
        <w:t xml:space="preserve"> (un solo hilo consumidor) que procesa los mensajes uno a uno en orden de offset y despacha cada evento a su handler. Ya no hay varios consumidores compitiendo en paralelo.</w:t>
      </w:r>
    </w:p>
    <w:p>
      <w:pPr>
        <w:pStyle w:val="ListParagraph"/>
        <w:numPr>
          <w:ilvl w:val="0"/>
          <w:numId w:val="2"/>
        </w:numPr>
        <w:spacing w:lineRule="exact" w:line="264" w:before="0" w:after="60"/>
        <w:jc w:val="both"/>
        <w:rPr/>
      </w:pPr>
      <w:r>
        <w:rPr>
          <w:rFonts w:eastAsia="Times New Roman" w:cs="Times New Roman"/>
          <w:b/>
          <w:bCs/>
          <w:sz w:val="24"/>
          <w:szCs w:val="24"/>
        </w:rPr>
        <w:t>Confirmación manual del offset.</w:t>
      </w:r>
      <w:r>
        <w:rPr>
          <w:rFonts w:eastAsia="Times New Roman" w:cs="Times New Roman"/>
          <w:sz w:val="24"/>
          <w:szCs w:val="24"/>
        </w:rPr>
        <w:t xml:space="preserve"> Con </w:t>
      </w:r>
      <w:r>
        <w:rPr>
          <w:rFonts w:eastAsia="Times New Roman" w:cs="Times New Roman"/>
          <w:i/>
          <w:iCs/>
          <w:sz w:val="24"/>
          <w:szCs w:val="24"/>
        </w:rPr>
        <w:t>ack-mode: MANUAL_IMMEDIATE</w:t>
      </w:r>
      <w:r>
        <w:rPr>
          <w:rFonts w:eastAsia="Times New Roman" w:cs="Times New Roman"/>
          <w:sz w:val="24"/>
          <w:szCs w:val="24"/>
        </w:rPr>
        <w:t>, el offset se confirma solo después de aplicar el evento al modelo de lectura; si el servicio cae, al reiniciar continúa desde el siguiente evento no confirmado, sin saltarse ninguno.</w:t>
      </w:r>
    </w:p>
    <w:p>
      <w:pPr>
        <w:pStyle w:val="ListParagraph"/>
        <w:numPr>
          <w:ilvl w:val="0"/>
          <w:numId w:val="2"/>
        </w:numPr>
        <w:spacing w:lineRule="exact" w:line="264" w:before="0" w:after="60"/>
        <w:jc w:val="both"/>
        <w:rPr/>
      </w:pPr>
      <w:r>
        <w:rPr>
          <w:rFonts w:eastAsia="Times New Roman" w:cs="Times New Roman"/>
          <w:b/>
          <w:bCs/>
          <w:sz w:val="24"/>
          <w:szCs w:val="24"/>
        </w:rPr>
        <w:t>Key = ID del agregado.</w:t>
      </w:r>
      <w:r>
        <w:rPr>
          <w:rFonts w:eastAsia="Times New Roman" w:cs="Times New Roman"/>
          <w:sz w:val="24"/>
          <w:szCs w:val="24"/>
        </w:rPr>
        <w:t xml:space="preserve"> Si el topic se particiona para escalar, todos los eventos de una misma cuenta van a la misma partición y conservan su orden relativo, que es el que importa para reconstruir el estado de cada agregado.</w:t>
      </w:r>
    </w:p>
    <w:p>
      <w:pPr>
        <w:pStyle w:val="ListParagraph"/>
        <w:numPr>
          <w:ilvl w:val="0"/>
          <w:numId w:val="2"/>
        </w:numPr>
        <w:spacing w:lineRule="exact" w:line="264" w:before="0" w:after="60"/>
        <w:jc w:val="both"/>
        <w:rPr/>
      </w:pPr>
      <w:r>
        <w:rPr>
          <w:rFonts w:eastAsia="Times New Roman" w:cs="Times New Roman"/>
          <w:b/>
          <w:bCs/>
          <w:sz w:val="24"/>
          <w:szCs w:val="24"/>
        </w:rPr>
        <w:t>Orden de origen consistente.</w:t>
      </w:r>
      <w:r>
        <w:rPr>
          <w:rFonts w:eastAsia="Times New Roman" w:cs="Times New Roman"/>
          <w:sz w:val="24"/>
          <w:szCs w:val="24"/>
        </w:rPr>
        <w:t xml:space="preserve"> En el lado de escritura, el event store asigna una versión secuencial a cada evento del agregado y aplica control de concurrencia optimista (</w:t>
      </w:r>
      <w:r>
        <w:rPr>
          <w:rFonts w:eastAsia="Times New Roman" w:cs="Times New Roman"/>
          <w:i/>
          <w:iCs/>
          <w:sz w:val="24"/>
          <w:szCs w:val="24"/>
        </w:rPr>
        <w:t>ConcurrencyException</w:t>
      </w:r>
      <w:r>
        <w:rPr>
          <w:rFonts w:eastAsia="Times New Roman" w:cs="Times New Roman"/>
          <w:sz w:val="24"/>
          <w:szCs w:val="24"/>
        </w:rPr>
        <w:t>); los eventos se publican en ese mismo orden.</w:t>
      </w:r>
    </w:p>
    <w:p>
      <w:pPr>
        <w:pStyle w:val="Heading2"/>
        <w:rPr/>
      </w:pPr>
      <w:bookmarkStart w:id="22" w:name="__RefHeading___Toc1210_106778696"/>
      <w:bookmarkEnd w:id="22"/>
      <w:r>
        <w:rPr/>
        <w:t>6.2 Por qué es importante en CQRS y Event Sourcing</w:t>
      </w:r>
    </w:p>
    <w:p>
      <w:pPr>
        <w:pStyle w:val="Normal"/>
        <w:spacing w:lineRule="exact" w:line="264" w:before="0" w:after="120"/>
        <w:jc w:val="both"/>
        <w:rPr/>
      </w:pPr>
      <w:r>
        <w:rPr>
          <w:rFonts w:eastAsia="Times New Roman" w:cs="Times New Roman"/>
          <w:sz w:val="24"/>
          <w:szCs w:val="24"/>
        </w:rPr>
        <w:t xml:space="preserve">En Event Sourcing el estado no se guarda, se </w:t>
      </w:r>
      <w:r>
        <w:rPr>
          <w:rFonts w:eastAsia="Times New Roman" w:cs="Times New Roman"/>
          <w:b/>
          <w:bCs/>
          <w:sz w:val="24"/>
          <w:szCs w:val="24"/>
        </w:rPr>
        <w:t>deriva</w:t>
      </w:r>
      <w:r>
        <w:rPr>
          <w:rFonts w:eastAsia="Times New Roman" w:cs="Times New Roman"/>
          <w:sz w:val="24"/>
          <w:szCs w:val="24"/>
        </w:rPr>
        <w:t xml:space="preserve"> aplicando los eventos uno tras otro, y esa operación no es conmutativa: aplicar Opened → Deposited → Closed no da el mismo resultado que Deposited → Closed → Opened. En CQRS, además, el modelo de lectura se construye de forma asíncrona a partir de esos mismos eventos; si el consumidor los aplica en un orden distinto al que se produjeron, el modelo de lectura diverge del event store de forma silenciosa: el sistema no falla, simplemente muestra saldos incorrectos.</w:t>
      </w:r>
    </w:p>
    <w:p>
      <w:pPr>
        <w:pStyle w:val="Normal"/>
        <w:spacing w:lineRule="exact" w:line="264" w:before="0" w:after="120"/>
        <w:jc w:val="both"/>
        <w:rPr/>
      </w:pPr>
      <w:r>
        <w:rPr>
          <w:rFonts w:eastAsia="Times New Roman" w:cs="Times New Roman"/>
          <w:sz w:val="24"/>
          <w:szCs w:val="24"/>
        </w:rPr>
        <w:t>El orden garantizado es lo que hace confiables las capacidades clave del patrón: reconstruir el modelo de lectura desde cero (como se demostró en la sección 5.4), agregar nuevas proyecciones que procesen el historial completo, recuperarse de fallos reprocesando eventos y auditar el historial. La prueba muestra que, con un solo topic, la reproducción de 14 eventos de 4 cuentas produce exactamente el mismo estado que el procesamiento original.</w:t>
      </w:r>
    </w:p>
    <w:p>
      <w:pPr>
        <w:pStyle w:val="Normal"/>
        <w:spacing w:lineRule="exact" w:line="264" w:before="0" w:after="120"/>
        <w:jc w:val="both"/>
        <w:rPr/>
      </w:pPr>
      <w:r>
        <w:rPr>
          <w:rFonts w:eastAsia="Times New Roman" w:cs="Times New Roman"/>
          <w:sz w:val="24"/>
          <w:szCs w:val="24"/>
        </w:rPr>
        <w:t>El costo de esta garantía es el paralelismo: una sola partición implica un solo consumidor activo por grupo. Usar el ID del agregado como key permite escalar a varias particiones manteniendo el orden por cuenta, que es el que el dominio necesita.</w:t>
      </w:r>
    </w:p>
    <w:sectPr>
      <w:footerReference w:type="even" r:id="rId32"/>
      <w:footerReference w:type="default" r:id="rId33"/>
      <w:footerReference w:type="first" r:id="rId3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keepNext w:val="true"/>
      <w:spacing w:before="360" w:after="16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qFormat/>
    <w:pPr>
      <w:keepNext w:val="true"/>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qFormat/>
    <w:pPr>
      <w:keepNext w:val="true"/>
      <w:spacing w:before="180" w:after="80"/>
      <w:outlineLvl w:val="2"/>
    </w:pPr>
    <w:rPr>
      <w:rFonts w:ascii="Times New Roman" w:hAnsi="Times New Roman" w:eastAsia="Times New Roman" w:cs="Times New Roman"/>
      <w:b/>
      <w:bCs/>
      <w:color w:val="00000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00000"/>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lectromayonaise/cqrs-event-sourcing-kafka"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2026-10-19T20:33:03Z</dcterms:created>
  <dc:creator>Estudiante</dc:creator>
  <dc:description/>
  <dc:language>en-US</dc:language>
  <cp:lastModifiedBy/>
  <dcterms:modified xsi:type="dcterms:W3CDTF">2026-10-19T15:33:06Z</dcterms:modified>
  <cp:revision>2</cp:revision>
  <dc:subject/>
  <dc:title>Prueba de Endpoints y Guarantee Event Consume Order</dc:title>
</cp:coreProperties>
</file>