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120" w:after="0"/>
        <w:ind w:firstLine="0"/>
        <w:jc w:val="left"/>
        <w:pBdr>
          <w:left w:val="single" w:sz="32" w:space="10" w:color="003366"/>
        </w:pBdr>
      </w:pPr>
      <w:r>
        <w:rPr>
          <w:rFonts w:ascii="맑은고딕" w:hAnsi="맑은고딕" w:eastAsia="맑은고딕"/>
          <w:b/>
          <w:i/>
          <w:color w:val="336699"/>
          <w:sz w:val="26"/>
        </w:rPr>
        <w:t>청량리6구역 재개발사업 사업지 입지 분석</w:t>
      </w: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120" w:after="0"/>
        <w:ind w:firstLine="0"/>
        <w:jc w:val="left"/>
        <w:pBdr>
          <w:left w:val="single" w:sz="32" w:space="10" w:color="003366"/>
        </w:pBdr>
      </w:pPr>
      <w:r>
        <w:rPr>
          <w:rFonts w:ascii="맑은고딕" w:hAnsi="맑은고딕" w:eastAsia="맑은고딕"/>
          <w:b w:val="0"/>
          <w:i/>
          <w:color w:val="336699"/>
          <w:sz w:val="26"/>
        </w:rPr>
        <w:t>cheongnyangni6</w:t>
      </w:r>
    </w:p>
    <w:p>
      <w:pPr>
        <w:spacing w:line="276" w:lineRule="auto" w:before="120" w:after="0"/>
        <w:ind w:firstLine="0"/>
        <w:jc w:val="left"/>
        <w:pBdr>
          <w:left w:val="single" w:sz="32" w:space="10" w:color="003366"/>
        </w:pBdr>
      </w:pPr>
      <w:r>
        <w:rPr>
          <w:rFonts w:ascii="맑은고딕" w:hAnsi="맑은고딕" w:eastAsia="맑은고딕"/>
          <w:b w:val="0"/>
          <w:i/>
          <w:color w:val="336699"/>
          <w:sz w:val="26"/>
        </w:rPr>
        <w:t>분석 대상: cheongnyangni6</w:t>
      </w: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color w:val="336699"/>
          <w:sz w:val="20"/>
        </w:rPr>
        <w:t>2026년 4월</w:t>
      </w:r>
    </w:p>
    <w:p>
      <w:pPr>
        <w:spacing w:line="276" w:lineRule="auto" w:before="120" w:after="0"/>
        <w:ind w:firstLine="0"/>
        <w:jc w:val="left"/>
        <w:pBdr>
          <w:left w:val="single" w:sz="32" w:space="10" w:color="003366"/>
        </w:pBdr>
      </w:pPr>
      <w:r>
        <w:rPr>
          <w:rFonts w:ascii="맑은고딕" w:hAnsi="맑은고딕" w:eastAsia="맑은고딕"/>
          <w:b w:val="0"/>
          <w:i/>
          <w:color w:val="336699"/>
          <w:sz w:val="26"/>
        </w:rPr>
        <w:t>작성자: 주택마케팅팀</w:t>
      </w:r>
    </w:p>
    <w:p>
      <w:r>
        <w:rPr>
          <w:rFonts w:ascii="맑은고딕" w:hAnsi="맑은고딕" w:eastAsia="맑은고딕"/>
          <w:sz w:val="20"/>
        </w:rPr>
        <w:br w:type="page"/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Executive Summary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분양성은 양호하나 초기 분양가를 인근 신축 시세 등가(59㎡ 약 15억) 수준으로 보수적으로 설정하고, 중도금 이자 후불제를 병행하여 DSR 제약 하의 실수요 유입을 극대화할 것을 권고한다.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주요 판단 근거: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청량리역 더블 역세권(현재 4개 노선 + GTX-B·C 예정) + 홍릉수목원 숲세권 복합 입지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2026년 서울 입주물량 급감(2.4만호, 전년 대비 −49%) → 신축 공급 희소성 확보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인근 7구역 1순위 경쟁률 242:1, 단기 완판으로 실수요 대기 수요 실증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GTX-C 지연 가능성(2028년 개통 목표, 협상 난항) → 분양가 정당성에 불확실성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적정분양가 (권고):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평형</w:t>
            </w:r>
          </w:p>
        </w:tc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적정 분양가</w:t>
            </w:r>
          </w:p>
        </w:tc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평당가</w:t>
            </w:r>
          </w:p>
        </w:tc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59㎡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/>
                <w:i w:val="0"/>
                <w:sz w:val="18"/>
              </w:rPr>
              <w:t>14.9~15.3억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@5,950~6,100만원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주력평형, 래미안엘리니티 시세 등가</w:t>
            </w:r>
          </w:p>
        </w:tc>
      </w:tr>
      <w:tr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84㎡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/>
                <w:i w:val="0"/>
                <w:sz w:val="18"/>
              </w:rPr>
              <w:t>17.8~18.6억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@5,100~5,300만원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59㎡ 대비 85~87%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※ 조건: 계약금 10% / 발코니 확장 포함 / 중도금 이자 후불제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1. 사업 개요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사업명</w:t>
            </w:r>
          </w:p>
        </w:tc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청량리6구역 주택재개발정비사업</w:t>
            </w:r>
          </w:p>
        </w:tc>
      </w:tr>
      <w:tr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브랜드</w:t>
            </w:r>
          </w:p>
        </w:tc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자이 더 로얄포레 (GS건설)</w:t>
            </w:r>
          </w:p>
        </w:tc>
      </w:tr>
      <w:tr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위치</w:t>
            </w:r>
          </w:p>
        </w:tc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서울특별시 동대문구 청량리동 205번지 일원</w:t>
            </w:r>
          </w:p>
        </w:tc>
      </w:tr>
      <w:tr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규모</w:t>
            </w:r>
          </w:p>
        </w:tc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지하3층~지상22층, 21개동, 총 1,493세대</w:t>
            </w:r>
          </w:p>
        </w:tc>
      </w:tr>
      <w:tr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일반분양</w:t>
            </w:r>
          </w:p>
        </w:tc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527세대</w:t>
            </w:r>
          </w:p>
        </w:tc>
      </w:tr>
      <w:tr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주력 평형</w:t>
            </w:r>
          </w:p>
        </w:tc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59㎡(449세대), 84㎡(503세대) — 전체 70.9%</w:t>
            </w:r>
          </w:p>
        </w:tc>
      </w:tr>
      <w:tr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사업시행인가</w:t>
            </w:r>
          </w:p>
        </w:tc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2024년 11월</w:t>
            </w:r>
          </w:p>
        </w:tc>
      </w:tr>
      <w:tr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상품 특징</w:t>
            </w:r>
          </w:p>
        </w:tc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남향 단축배치, 홍릉수목원 영구 조망, 84㎡ 전 세대 4Bay</w:t>
            </w:r>
          </w:p>
        </w:tc>
      </w:tr>
    </w:tbl>
    <w:p/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2. 거시·정책 환경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금리·대출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한국은행 기준금리: </w:t>
      </w:r>
      <w:r>
        <w:rPr>
          <w:rFonts w:ascii="맑은고딕" w:hAnsi="맑은고딕" w:eastAsia="맑은고딕"/>
          <w:b/>
          <w:i w:val="0"/>
          <w:sz w:val="24"/>
        </w:rPr>
        <w:t>2.50% (2026년 4월 동결)</w:t>
      </w:r>
      <w:r>
        <w:rPr>
          <w:rFonts w:ascii="맑은고딕" w:hAnsi="맑은고딕" w:eastAsia="맑은고딕"/>
          <w:b w:val="0"/>
          <w:i w:val="0"/>
          <w:sz w:val="24"/>
        </w:rPr>
        <w:t xml:space="preserve"> (출처: 한국은행)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보금자리론: 연 3.90~4.20% (2026년 1월 0.25%p 인상 적용)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DSR 40% 전국 적용 → 분양가 15억 기준, 연소득 약 1억원 차주의 주담대 한도 약 9억 수준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비규제지역 LTV 70% + 중도금 이자 후불제 조합으로 진입 장벽 완화 가능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세제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취득세: 1주택 기준 3% 적용 구간(6억 초과) → 분양가 15억 시 약 4,500만원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양도세 비과세 한도(12억)를 상회 → 장기 보유 계획 필요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공급정책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서울 신규 택지 고갈로 재개발·재건축 의존도 높음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2026년 서울 전체 입주물량: 약 24,000세대 (2025년 47,000세대 대비 −49%)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신통기획 등 도심 정비사업 속도 개선 기조 지속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종합:</w:t>
      </w:r>
      <w:r>
        <w:rPr>
          <w:rFonts w:ascii="맑은고딕" w:hAnsi="맑은고딕" w:eastAsia="맑은고딕"/>
          <w:b w:val="0"/>
          <w:i w:val="0"/>
          <w:sz w:val="24"/>
        </w:rPr>
        <w:t xml:space="preserve"> 금리 동결로 추가 인상 우려는 낮으나, DSR 제약이 실질 매수력을 제한. 공급 희소성이 분양가 지지 요인으로 작용.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3. 수요 분석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실수요층 프로파일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수요층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배경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선호 타입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CBD 직장인 (30~40대)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1호선 광화문·을지로 30분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59~84㎡</w:t>
            </w:r>
          </w:p>
        </w:tc>
      </w:tr>
      <w:tr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의료·교육 종사자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고대안암병원, 경희의료원, 대학 인접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84㎡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젊은 가족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숲세권 환경, 대단지 커뮤니티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84㎡ 4Bay</w:t>
            </w:r>
          </w:p>
        </w:tc>
      </w:tr>
      <w:tr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GTX 기대 수요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GTX-C 삼성역 1정거장 기대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59·84㎡</w:t>
            </w:r>
          </w:p>
        </w:tc>
      </w:tr>
    </w:tbl>
    <w:p/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수요 검증 (인근 분양 실적)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청량리7구역 롯데캐슬 하이루체 ('23.06, 173세대): </w:t>
      </w:r>
      <w:r>
        <w:rPr>
          <w:rFonts w:ascii="맑은고딕" w:hAnsi="맑은고딕" w:eastAsia="맑은고딕"/>
          <w:b/>
          <w:i w:val="0"/>
          <w:sz w:val="24"/>
        </w:rPr>
        <w:t>1순위 평균 242:1, 단기 완판</w:t>
      </w:r>
      <w:r>
        <w:rPr>
          <w:rFonts w:ascii="맑은고딕" w:hAnsi="맑은고딕" w:eastAsia="맑은고딕"/>
          <w:b w:val="0"/>
          <w:i w:val="0"/>
          <w:sz w:val="24"/>
        </w:rPr>
        <w:t xml:space="preserve"> (출처: 청약홈)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동일 생활권 대기 수요 두터움 실증. 일반분양 527세대는 충분히 소화 가능한 규모.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4. 공급 분석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단기 공급 환경 (2026~2028년)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연도</w:t>
            </w:r>
          </w:p>
        </w:tc>
        <w:tc>
          <w:tcPr>
            <w:tcW w:type="dxa" w:w="4703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동대문구 주요 공급</w:t>
            </w:r>
          </w:p>
        </w:tc>
      </w:tr>
      <w:tr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2026년</w:t>
            </w:r>
          </w:p>
        </w:tc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청량리6구역 1,493세대 입주 (본 사업지)</w:t>
            </w:r>
          </w:p>
        </w:tc>
      </w:tr>
      <w:tr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2027년</w:t>
            </w:r>
          </w:p>
        </w:tc>
        <w:tc>
          <w:tcPr>
            <w:tcW w:type="dxa" w:w="4703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이문4구역 착공 개시 (입주는 2030년 이후)</w:t>
            </w:r>
          </w:p>
        </w:tc>
      </w:tr>
      <w:tr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2028년</w:t>
            </w:r>
          </w:p>
        </w:tc>
        <w:tc>
          <w:tcPr>
            <w:tcW w:type="dxa" w:w="4703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동북권 대규모 공급 공백 지속</w:t>
            </w:r>
          </w:p>
        </w:tc>
      </w:tr>
    </w:tbl>
    <w:p/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단기 경쟁 공급 부재 → 분양 시장 진입 적기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2030년 전후 이문4구역(3,488세대) 입주 시 전세·매매 경쟁 심화 가능성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수급 판단:</w:t>
      </w:r>
      <w:r>
        <w:rPr>
          <w:rFonts w:ascii="맑은고딕" w:hAnsi="맑은고딕" w:eastAsia="맑은고딕"/>
          <w:b w:val="0"/>
          <w:i w:val="0"/>
          <w:sz w:val="24"/>
        </w:rPr>
        <w:t xml:space="preserve"> 단기 공급 우위. 2030년 이후 경쟁 심화 전에 분양·입주 완료하는 일정 구성이 유리.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5. 입지 분석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교통 접근성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청량리역 도보 5~10분 이내. 현재 4개 노선(1호선·경의중앙선·경춘선·수인분당선) 운행 중이며, 동북선 경전철(2026년 완공 예정), GTX-B·C가 예정되어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업무지구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현재 소요시간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GTX 개통 후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CBD (광화문·을지로)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25~30분 (1호선)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유사</w:t>
            </w:r>
          </w:p>
        </w:tc>
      </w:tr>
      <w:tr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GBD (강남·삼성)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40~50분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10분 이내 (GTX-C, 예정)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YBD (여의도)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40분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15분 (GTX-B, 예정)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&gt; GTX-C 지연 우려(2028년 목표, 협상 난항). 분양 홍보 시 '예정 호재'로만 표기할 것.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생활 인프라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의료:</w:t>
      </w:r>
      <w:r>
        <w:rPr>
          <w:rFonts w:ascii="맑은고딕" w:hAnsi="맑은고딕" w:eastAsia="맑은고딕"/>
          <w:b w:val="0"/>
          <w:i w:val="0"/>
          <w:sz w:val="24"/>
        </w:rPr>
        <w:t xml:space="preserve"> 고대안암병원(1km), 경희의료원(1.5km), 서울성심병원 — 의료 접근성 최상위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자연:</w:t>
      </w:r>
      <w:r>
        <w:rPr>
          <w:rFonts w:ascii="맑은고딕" w:hAnsi="맑은고딕" w:eastAsia="맑은고딕"/>
          <w:b w:val="0"/>
          <w:i w:val="0"/>
          <w:sz w:val="24"/>
        </w:rPr>
        <w:t xml:space="preserve"> 홍릉수목원 영구 조망 (숲세권 프리미엄), 정릉천 산책로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상권:</w:t>
      </w:r>
      <w:r>
        <w:rPr>
          <w:rFonts w:ascii="맑은고딕" w:hAnsi="맑은고딕" w:eastAsia="맑은고딕"/>
          <w:b w:val="0"/>
          <w:i w:val="0"/>
          <w:sz w:val="24"/>
        </w:rPr>
        <w:t xml:space="preserve"> 청량리역 상권 (대형마트·롯데백화점·전통시장)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교육:</w:t>
      </w:r>
      <w:r>
        <w:rPr>
          <w:rFonts w:ascii="맑은고딕" w:hAnsi="맑은고딕" w:eastAsia="맑은고딕"/>
          <w:b w:val="0"/>
          <w:i w:val="0"/>
          <w:sz w:val="24"/>
        </w:rPr>
        <w:t xml:space="preserve"> 고려대·경희대·서울시립대 인접. 초·중 학군은 동대문구 수준 (강남 대비 열위)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입지 강점·약점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강점:</w:t>
      </w:r>
      <w:r>
        <w:rPr>
          <w:rFonts w:ascii="맑은고딕" w:hAnsi="맑은고딕" w:eastAsia="맑은고딕"/>
          <w:b w:val="0"/>
          <w:i w:val="0"/>
          <w:sz w:val="24"/>
        </w:rPr>
        <w:t xml:space="preserve"> CBD 직주근접 + 숲세권 + 의료 인프라 + 단기 신축 희소성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약점:</w:t>
      </w:r>
      <w:r>
        <w:rPr>
          <w:rFonts w:ascii="맑은고딕" w:hAnsi="맑은고딕" w:eastAsia="맑은고딕"/>
          <w:b w:val="0"/>
          <w:i w:val="0"/>
          <w:sz w:val="24"/>
        </w:rPr>
        <w:t xml:space="preserve"> 학군 비선호, GTX 불확실성, 청량리역 북측 노후 이미지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6. 경쟁 비교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비교단지: 래미안엘리니티(용두동, 2022년, 1,048세대), 래미안크레시티(전농동, 2013년, 2,397세대)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비교 항목</w:t>
            </w:r>
          </w:p>
        </w:tc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자이 더 로얄포레</w:t>
            </w:r>
          </w:p>
        </w:tc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래미안엘리니티</w:t>
            </w:r>
          </w:p>
        </w:tc>
        <w:tc>
          <w:tcPr>
            <w:tcW w:type="dxa" w:w="2351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래미안크레시티</w:t>
            </w:r>
          </w:p>
        </w:tc>
      </w:tr>
      <w:tr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59㎡ 가격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14.9~15.3억 (분양 예정)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15억 내외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12.2~12.3억</w:t>
            </w:r>
          </w:p>
        </w:tc>
      </w:tr>
      <w:tr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역 거리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도보 5~10분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도보 10~15분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도보 10~15분</w:t>
            </w:r>
          </w:p>
        </w:tc>
      </w:tr>
      <w:tr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조망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홍릉수목원 영구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없음</w:t>
            </w:r>
          </w:p>
        </w:tc>
        <w:tc>
          <w:tcPr>
            <w:tcW w:type="dxa" w:w="2351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없음</w:t>
            </w:r>
          </w:p>
        </w:tc>
      </w:tr>
      <w:tr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연식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신규 분양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2022년 (준신축)</w:t>
            </w:r>
          </w:p>
        </w:tc>
        <w:tc>
          <w:tcPr>
            <w:tcW w:type="dxa" w:w="2351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2013년 (구축)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&gt; 출처: 호갱노노·디아파트, 2026.04 기준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차등지수 적용 결과:</w:t>
      </w:r>
      <w:r>
        <w:rPr>
          <w:rFonts w:ascii="맑은고딕" w:hAnsi="맑은고딕" w:eastAsia="맑은고딕"/>
          <w:b w:val="0"/>
          <w:i w:val="0"/>
          <w:sz w:val="24"/>
        </w:rPr>
        <w:t xml:space="preserve"> 래미안엘리니티 시세 15억 기준, 신축·숲세권 (+)·브랜드 소폭 열위 (−) 상쇄 → 59㎡ 등가~소폭 보정 범위 내 분양가 설정이 합리적.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7. 리스크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리스크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영향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등급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GTX-C 지연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핵심 호재 기대감 훼손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중간~높음</w:t>
            </w:r>
          </w:p>
        </w:tc>
      </w:tr>
      <w:tr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DSR 제약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실수요층 일부 탈락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중간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이문4구역 중기 공급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2030년 전후 경쟁 심화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중간</w:t>
            </w:r>
          </w:p>
        </w:tc>
      </w:tr>
      <w:tr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분양가 고평가 논란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청약률 하락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중간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학군 약세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자녀 보유 가구 이탈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낮음</w:t>
            </w:r>
          </w:p>
        </w:tc>
      </w:tr>
    </w:tbl>
    <w:p/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8. 결론 및 시사점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분양성은 양호하나, 초기 분양가를 인근 신축 시세 등가(59㎡ 약 15억) 이하로 설정하고 중도금 이자 후불제를 병행하여 DSR 제약 하의 실수요 유입을 극대화할 것을 권고한다.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적정분양가 (최종)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평형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적정 분양가</w:t>
            </w:r>
          </w:p>
        </w:tc>
        <w:tc>
          <w:tcPr>
            <w:tcW w:type="dxa" w:w="3135"/>
            <w:shd w:fill="003366"/>
            <w:tcBorders>
              <w:top w:val="single" w:sz="8" w:color="003366"/>
              <w:left w:val="single" w:sz="8" w:color="003366"/>
              <w:bottom w:val="single" w:sz="8" w:color="003366"/>
              <w:right w:val="single" w:sz="8" w:color="003366"/>
            </w:tcBorders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맑은고딕" w:hAnsi="맑은고딕" w:eastAsia="맑은고딕"/>
                <w:b/>
                <w:i w:val="0"/>
                <w:color w:val="FFFFFF"/>
                <w:sz w:val="20"/>
              </w:rPr>
              <w:t>평당가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59㎡ (주력)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/>
                <w:i w:val="0"/>
                <w:sz w:val="18"/>
              </w:rPr>
              <w:t>14.9~15.3억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@5,950~6,100만원</w:t>
            </w:r>
          </w:p>
        </w:tc>
      </w:tr>
      <w:tr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78㎡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/>
                <w:i w:val="0"/>
                <w:sz w:val="18"/>
              </w:rPr>
              <w:t>18.0~18.6억</w:t>
            </w:r>
          </w:p>
        </w:tc>
        <w:tc>
          <w:tcPr>
            <w:tcW w:type="dxa" w:w="3135"/>
            <w:shd w:fill="F0F5FA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@5,500~5,700만원</w:t>
            </w:r>
          </w:p>
        </w:tc>
      </w:tr>
      <w:tr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84㎡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/>
                <w:i w:val="0"/>
                <w:sz w:val="18"/>
              </w:rPr>
              <w:t>17.8~18.6억</w:t>
            </w:r>
          </w:p>
        </w:tc>
        <w:tc>
          <w:tcPr>
            <w:tcW w:type="dxa" w:w="3135"/>
            <w:tcBorders>
              <w:top w:val="single" w:sz="4" w:color="B4B4B4"/>
              <w:left w:val="single" w:sz="4" w:color="B4B4B4"/>
              <w:bottom w:val="single" w:sz="4" w:color="B4B4B4"/>
              <w:right w:val="single" w:sz="4" w:color="B4B4B4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sz w:val="18"/>
              </w:rPr>
            </w:r>
            <w:r>
              <w:rPr>
                <w:rFonts w:ascii="맑은고딕" w:hAnsi="맑은고딕" w:eastAsia="맑은고딕"/>
                <w:b w:val="0"/>
                <w:i w:val="0"/>
                <w:sz w:val="18"/>
              </w:rPr>
              <w:t>@5,100~5,300만원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※ 분양 조건: 계약금 10% / 발코니 확장 포함 / 중도금 이자 후불제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분양 전략 시사점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1. </w:t>
      </w:r>
      <w:r>
        <w:rPr>
          <w:rFonts w:ascii="맑은고딕" w:hAnsi="맑은고딕" w:eastAsia="맑은고딕"/>
          <w:b/>
          <w:i w:val="0"/>
          <w:sz w:val="24"/>
        </w:rPr>
        <w:t>가격 전략:</w:t>
      </w:r>
      <w:r>
        <w:rPr>
          <w:rFonts w:ascii="맑은고딕" w:hAnsi="맑은고딕" w:eastAsia="맑은고딕"/>
          <w:b w:val="0"/>
          <w:i w:val="0"/>
          <w:sz w:val="24"/>
        </w:rPr>
        <w:t xml:space="preserve"> 시세 등가 또는 소폭 할인 → 초기 완판 후 잔여 물량 가격 상향 옵션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2. </w:t>
      </w:r>
      <w:r>
        <w:rPr>
          <w:rFonts w:ascii="맑은고딕" w:hAnsi="맑은고딕" w:eastAsia="맑은고딕"/>
          <w:b/>
          <w:i w:val="0"/>
          <w:sz w:val="24"/>
        </w:rPr>
        <w:t>홍보 전략:</w:t>
      </w:r>
      <w:r>
        <w:rPr>
          <w:rFonts w:ascii="맑은고딕" w:hAnsi="맑은고딕" w:eastAsia="맑은고딕"/>
          <w:b w:val="0"/>
          <w:i w:val="0"/>
          <w:sz w:val="24"/>
        </w:rPr>
        <w:t xml:space="preserve"> GTX-C는 '미래 잠재력'으로 표기. 현재 1호선·수인분당선 직통 접근성과 숲세권·의료 인프라를 전면 부각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3. </w:t>
      </w:r>
      <w:r>
        <w:rPr>
          <w:rFonts w:ascii="맑은고딕" w:hAnsi="맑은고딕" w:eastAsia="맑은고딕"/>
          <w:b/>
          <w:i w:val="0"/>
          <w:sz w:val="24"/>
        </w:rPr>
        <w:t>자금 조달:</w:t>
      </w:r>
      <w:r>
        <w:rPr>
          <w:rFonts w:ascii="맑은고딕" w:hAnsi="맑은고딕" w:eastAsia="맑은고딕"/>
          <w:b w:val="0"/>
          <w:i w:val="0"/>
          <w:sz w:val="24"/>
        </w:rPr>
        <w:t xml:space="preserve"> 중도금 이자 후불제 필수. 비규제지역 LTV 70% 조건 명시로 대출 가능성 강조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4. </w:t>
      </w:r>
      <w:r>
        <w:rPr>
          <w:rFonts w:ascii="맑은고딕" w:hAnsi="맑은고딕" w:eastAsia="맑은고딕"/>
          <w:b/>
          <w:i w:val="0"/>
          <w:sz w:val="24"/>
        </w:rPr>
        <w:t>타이밍:</w:t>
      </w:r>
      <w:r>
        <w:rPr>
          <w:rFonts w:ascii="맑은고딕" w:hAnsi="맑은고딕" w:eastAsia="맑은고딕"/>
          <w:b w:val="0"/>
          <w:i w:val="0"/>
          <w:sz w:val="24"/>
        </w:rPr>
        <w:t xml:space="preserve"> 2026년 서울 공급 감소 국면이 분양 적기. 지연 시 이문4구역 착공 이슈와 겹쳐 관심도 분산 가능성</w:t>
      </w:r>
    </w:p>
    <w:p>
      <w:pPr>
        <w:spacing w:line="276" w:lineRule="auto" w:before="0" w:after="0"/>
        <w:ind w:firstLine="0" w:left="283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/>
          <w:sz w:val="24"/>
        </w:rPr>
        <w:t>본 보고서의 GTX 관련 수치는 현재 계획 기준이며, 개통 일정 변경 시 가치 판단에 영향을 미칠 수 있습니다. 분양가 산정의 세부 비교 수치는 최신 실거래가 데이터로 재검증을 권고합니다.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고딕" w:hAnsi="맑은고딕" w:eastAsia="맑은고딕"/>
        <w:color w:val="336699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고딕" w:hAnsi="맑은고딕" w:eastAsia="맑은고딕"/>
        <w:color w:val="336699"/>
        <w:sz w:val="18"/>
      </w:rPr>
      <w:t xml:space="preserve"> / </w:t>
    </w:r>
    <w:r>
      <w:rPr>
        <w:rFonts w:ascii="맑은고딕" w:hAnsi="맑은고딕" w:eastAsia="맑은고딕"/>
        <w:color w:val="336699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336699" w:space="1"/>
      </w:pBdr>
    </w:pPr>
    <w:r>
      <w:rPr>
        <w:rFonts w:ascii="맑은고딕" w:hAnsi="맑은고딕" w:eastAsia="맑은고딕"/>
        <w:color w:val="336699"/>
        <w:sz w:val="16"/>
      </w:rPr>
      <w:t>경영과제 해결 제안서 | 기업코드: XXXXXX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맑은고딕" w:hAnsi="맑은고딕" w:eastAsia="맑은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pBdr>
        <w:bottom w:val="single" w:sz="12" w:color="003366" w:space="1"/>
      </w:pBdr>
    </w:pPr>
    <w:rPr>
      <w:rFonts w:asciiTheme="majorHAnsi" w:eastAsiaTheme="majorEastAsia" w:hAnsiTheme="majorHAnsi" w:cstheme="majorBidi" w:ascii="맑은고딕" w:hAnsi="맑은고딕" w:eastAsia="맑은고딕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맑은고딕" w:hAnsi="맑은고딕" w:eastAsia="맑은고딕"/>
      <w:b/>
      <w:bCs/>
      <w:color w:val="3366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