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Case Investigation / Problem-Solution Brief</w:t>
      </w:r>
    </w:p>
    <w:p>
      <w:pPr/>
      <w:r>
        <w:rPr>
          <w:i/>
        </w:rPr>
        <w:t xml:space="preserve">AI Synergy Hackathon 2026 — Round 1, Case 03: Healthcare — "The Follow-Up Blind Spot" — Team Neuromot</w:t>
      </w:r>
    </w:p>
    <w:p>
      <w:pPr/>
      <w:r>
        <w:rPr>
          <w:b/>
        </w:rPr>
        <w:t xml:space="preserve">Integrity note.</w:t>
      </w:r>
      <w:r>
        <w:t xml:space="preserve"> Per the case-file integrity note (ABV-IIITM Gwalior / Sangillence, AI Synergy Hackathon 2026), all numerical figures drawn from the official case booklet — OPD volume, the 28% non-return rate, and the 19% / 7% contact figures — are competition materials used to define the problem space, not verified statistics about a real hospital. They are labelled </w:t>
      </w:r>
      <w:r>
        <w:rPr>
          <w:b/>
        </w:rPr>
        <w:t xml:space="preserve">CASE EVIDENCE</w:t>
      </w:r>
      <w:r>
        <w:t xml:space="preserve"> throughout this brief. Findings drawn from the peer-reviewed EM-TeBa study and other cited sources are independently verifiable and are labelled </w:t>
      </w:r>
      <w:r>
        <w:rPr>
          <w:b/>
        </w:rPr>
        <w:t xml:space="preserve">EXTERNAL EVIDENCE</w:t>
      </w:r>
      <w:r>
        <w:t xml:space="preserve">.</w:t>
      </w:r>
    </w:p>
    <w:p>
      <w:pPr>
        <w:pStyle w:val="Heading2"/>
      </w:pPr>
      <w:r>
        <w:t xml:space="preserve">1. Map — Stakeholders, Signals, Constraints, Unknowns</w:t>
      </w:r>
    </w:p>
    <w:p>
      <w:pPr/>
      <w:r>
        <w:rPr>
          <w:b/>
        </w:rPr>
        <w:t xml:space="preserve">Stakeholders (CASE EVIDENCE).</w:t>
      </w:r>
    </w:p>
    <w:p>
      <w:pPr>
        <w:pStyle w:val="ListParagraph"/>
        <w:numPr>
          <w:ilvl w:val="0"/>
          <w:numId w:val="2"/>
        </w:numPr>
      </w:pPr>
      <w:r>
        <w:t xml:space="preserve">Patients and caregivers — variable literacy, some share a household phone, some have none, some travel long distances (outstation).</w:t>
      </w:r>
    </w:p>
    <w:p>
      <w:pPr>
        <w:pStyle w:val="ListParagraph"/>
        <w:numPr>
          <w:ilvl w:val="0"/>
          <w:numId w:val="2"/>
        </w:numPr>
      </w:pPr>
      <w:r>
        <w:t xml:space="preserve">Doctors and nurses — identify who needs follow-up; must not be replaced in any clinical judgement.</w:t>
      </w:r>
    </w:p>
    <w:p>
      <w:pPr>
        <w:pStyle w:val="ListParagraph"/>
        <w:numPr>
          <w:ilvl w:val="0"/>
          <w:numId w:val="2"/>
        </w:numPr>
      </w:pPr>
      <w:r>
        <w:t xml:space="preserve">Registration and records staff — the small team that currently has no way to prioritise manual calling.</w:t>
      </w:r>
    </w:p>
    <w:p>
      <w:pPr>
        <w:pStyle w:val="ListParagraph"/>
        <w:numPr>
          <w:ilvl w:val="0"/>
          <w:numId w:val="2"/>
        </w:numPr>
      </w:pPr>
      <w:r>
        <w:t xml:space="preserve">Community health workers (CHWs) — the people who would actually act on a prioritised list.</w:t>
      </w:r>
    </w:p>
    <w:p>
      <w:pPr>
        <w:pStyle w:val="ListParagraph"/>
        <w:numPr>
          <w:ilvl w:val="0"/>
          <w:numId w:val="2"/>
        </w:numPr>
      </w:pPr>
      <w:r>
        <w:t xml:space="preserve">Hospital administration — wants the 28% non-return rate reduced without new clinical risk.</w:t>
      </w:r>
    </w:p>
    <w:p>
      <w:pPr/>
      <w:r>
        <w:rPr>
          <w:b/>
        </w:rPr>
        <w:t xml:space="preserve">Case evidence pack (reproduced from the booklet).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Case evidence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remains uncertain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Volume</w:t>
            </w:r>
          </w:p>
        </w:tc>
        <w:tc>
          <w:tcPr>
            <w:tcW w:w="3120" w:type="dxa"/>
          </w:tcPr>
          <w:p>
            <w:pPr/>
            <w:r>
              <w:t xml:space="preserve">~900 outpatient visits/day</w:t>
            </w:r>
          </w:p>
        </w:tc>
        <w:tc>
          <w:tcPr>
            <w:tcW w:w="3120" w:type="dxa"/>
          </w:tcPr>
          <w:p>
            <w:pPr/>
            <w:r>
              <w:t xml:space="preserve">How many genuinely require active follow-up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Return rate</w:t>
            </w:r>
          </w:p>
        </w:tc>
        <w:tc>
          <w:tcPr>
            <w:tcW w:w="3120" w:type="dxa"/>
          </w:tcPr>
          <w:p>
            <w:pPr/>
            <w:r>
              <w:t xml:space="preserve">28% of follow-up patients did not return within window (3-month sample)</w:t>
            </w:r>
          </w:p>
        </w:tc>
        <w:tc>
          <w:tcPr>
            <w:tcW w:w="3120" w:type="dxa"/>
          </w:tcPr>
          <w:p>
            <w:pPr/>
            <w:r>
              <w:t xml:space="preserve">Which missed visits are clinically important vs. administratively delayed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Contact</w:t>
            </w:r>
          </w:p>
        </w:tc>
        <w:tc>
          <w:tcPr>
            <w:tcW w:w="3120" w:type="dxa"/>
          </w:tcPr>
          <w:p>
            <w:pPr/>
            <w:r>
              <w:t xml:space="preserve">19% shared household number; 7% unreachable</w:t>
            </w:r>
          </w:p>
        </w:tc>
        <w:tc>
          <w:tcPr>
            <w:tcW w:w="3120" w:type="dxa"/>
          </w:tcPr>
          <w:p>
            <w:pPr/>
            <w:r>
              <w:t xml:space="preserve">What alternative contact channels are acceptable and consented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Records</w:t>
            </w:r>
          </w:p>
        </w:tc>
        <w:tc>
          <w:tcPr>
            <w:tcW w:w="3120" w:type="dxa"/>
          </w:tcPr>
          <w:p>
            <w:pPr/>
            <w:r>
              <w:t xml:space="preserve">Follow-up instructions are free text, varies by clinician</w:t>
            </w:r>
          </w:p>
        </w:tc>
        <w:tc>
          <w:tcPr>
            <w:tcW w:w="3120" w:type="dxa"/>
          </w:tcPr>
          <w:p>
            <w:pPr/>
            <w:r>
              <w:t xml:space="preserve">Whether structured capture reduces ambiguity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Staffing</w:t>
            </w:r>
          </w:p>
        </w:tc>
        <w:tc>
          <w:tcPr>
            <w:tcW w:w="3120" w:type="dxa"/>
          </w:tcPr>
          <w:p>
            <w:pPr/>
            <w:r>
              <w:t xml:space="preserve">Small records team cannot manually prioritise every missed visit</w:t>
            </w:r>
          </w:p>
        </w:tc>
        <w:tc>
          <w:tcPr>
            <w:tcW w:w="3120" w:type="dxa"/>
          </w:tcPr>
          <w:p>
            <w:pPr/>
            <w:r>
              <w:t xml:space="preserve">What prioritisation can be safely automated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Risk boundary</w:t>
            </w:r>
          </w:p>
        </w:tc>
        <w:tc>
          <w:tcPr>
            <w:tcW w:w="3120" w:type="dxa"/>
          </w:tcPr>
          <w:p>
            <w:pPr/>
            <w:r>
              <w:t xml:space="preserve">Clinical teams reject autonomous diagnosis, treatment change, or emergency advice</w:t>
            </w:r>
          </w:p>
        </w:tc>
        <w:tc>
          <w:tcPr>
            <w:tcW w:w="3120" w:type="dxa"/>
          </w:tcPr>
          <w:p>
            <w:pPr/>
            <w:r>
              <w:t xml:space="preserve">Where the safe workflow/clinical-judgement line sits</w:t>
            </w:r>
          </w:p>
        </w:tc>
      </w:tr>
    </w:tbl>
    <w:p>
      <w:pPr/>
      <w:r>
        <w:rPr>
          <w:b/>
        </w:rPr>
        <w:t xml:space="preserve">Constraints (CASE EVIDENCE).</w:t>
      </w:r>
      <w:r>
        <w:t xml:space="preserve"> No EHR integration assumed available. Clinical teams will reject any system that independently diagnoses, changes treatment, or gives emergency advice. Staff have limited time for manual calling.</w:t>
      </w:r>
    </w:p>
    <w:p>
      <w:pPr/>
      <w:r>
        <w:rPr>
          <w:b/>
        </w:rPr>
        <w:t xml:space="preserve">Unknowns.</w:t>
      </w:r>
      <w:r>
        <w:t xml:space="preserve"> Whether a failed teach-back predicts later loss-to-follow-up; the exact share of all 900 daily visits that need active follow-up at all; whether 28% non-return is itself concentrated in a predictable subgroup.</w:t>
      </w:r>
    </w:p>
    <w:p>
      <w:pPr>
        <w:pStyle w:val="Heading2"/>
      </w:pPr>
      <w:r>
        <w:t xml:space="preserve">2. Diverge — At Least Two Problem Framings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Framing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Primary stakeholder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assumes is the bottleneck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we did / didn't choose 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 — Comprehension-first</w:t>
            </w:r>
          </w:p>
        </w:tc>
        <w:tc>
          <w:tcPr>
            <w:tcW w:w="2340" w:type="dxa"/>
          </w:tcPr>
          <w:p>
            <w:pPr/>
            <w:r>
              <w:t xml:space="preserve">Patient, at the moment of discharge</w:t>
            </w:r>
          </w:p>
        </w:tc>
        <w:tc>
          <w:tcPr>
            <w:tcW w:w="2340" w:type="dxa"/>
          </w:tcPr>
          <w:p>
            <w:pPr/>
            <w:r>
              <w:t xml:space="preserve">Patients don't return because they never understood why they needed to — EM-TeBa shows return-precaution comprehension is the weakest domain of all (EXTERNAL EVIDENCE).</w:t>
            </w:r>
          </w:p>
        </w:tc>
        <w:tc>
          <w:tcPr>
            <w:tcW w:w="2340" w:type="dxa"/>
          </w:tcPr>
          <w:p>
            <w:pPr/>
            <w:r>
              <w:t xml:space="preserve">Strong evidence this piece is real, but on its own it explains only part of a 28% non-return rate — doesn't address scheduling or contact gaps.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 — Logistics-first</w:t>
            </w:r>
          </w:p>
        </w:tc>
        <w:tc>
          <w:tcPr>
            <w:tcW w:w="2340" w:type="dxa"/>
          </w:tcPr>
          <w:p>
            <w:pPr/>
            <w:r>
              <w:t xml:space="preserve">Records / scheduling staff</w:t>
            </w:r>
          </w:p>
        </w:tc>
        <w:tc>
          <w:tcPr>
            <w:tcW w:w="2340" w:type="dxa"/>
          </w:tcPr>
          <w:p>
            <w:pPr/>
            <w:r>
              <w:t xml:space="preserve">Patients miss follow-up because the suggested date collides with clinic load, travel distance, or an unreachable number — not because they didn't understand.</w:t>
            </w:r>
          </w:p>
        </w:tc>
        <w:tc>
          <w:tcPr>
            <w:tcW w:w="2340" w:type="dxa"/>
          </w:tcPr>
          <w:p>
            <w:pPr/>
            <w:r>
              <w:t xml:space="preserve">Real CASE EVIDENCE (shared/unreachable numbers, outstation patients) but ignores the comprehension gap EM-TeBa documents.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 — Triage-first (chosen)</w:t>
            </w:r>
          </w:p>
        </w:tc>
        <w:tc>
          <w:tcPr>
            <w:tcW w:w="2340" w:type="dxa"/>
          </w:tcPr>
          <w:p>
            <w:pPr/>
            <w:r>
              <w:t xml:space="preserve">Records staff / CHWs, acting on a ranked list</w:t>
            </w:r>
          </w:p>
        </w:tc>
        <w:tc>
          <w:tcPr>
            <w:tcW w:w="2340" w:type="dxa"/>
          </w:tcPr>
          <w:p>
            <w:pPr/>
            <w:r>
              <w:t xml:space="preserve">The real bottleneck is that comprehension failure, contact risk, and clinical urgency all exist as separate, unlinked signals — no one combines them into a single, defensible "call this person first" decision.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Selected.</w:t>
            </w:r>
            <w:r>
              <w:t xml:space="preserve"> Treats A and B as inputs rather than competitors, and matches the case's explicit staffing constraint (small team, can't manually prioritise everyone).</w:t>
            </w:r>
          </w:p>
        </w:tc>
      </w:tr>
    </w:tbl>
    <w:p>
      <w:pPr/>
      <w:r>
        <w:t xml:space="preserve">Framing a different stakeholder as primary changes the product: Framing A alone would build a better discharge conversation tool; Framing B alone would build a scheduling optimiser; Framing C builds a workflow that makes both of the other signals, plus clinical urgency, visible and actionable to the people with the least time.</w:t>
      </w:r>
    </w:p>
    <w:p>
      <w:pPr>
        <w:pStyle w:val="Heading2"/>
      </w:pPr>
      <w:r>
        <w:t xml:space="preserve">3. Investigate — External Evidence</w:t>
      </w:r>
    </w:p>
    <w:p>
      <w:pPr/>
      <w:r>
        <w:t xml:space="preserve">The case booklet deliberately provides no outside evidence. The following independently-sourced findings were used to test and support Framing C. All are EXTERNAL EVIDENCE, verified against primary sources.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Finding used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 it is used in the design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Mahajan et al., </w:t>
            </w:r>
            <w:r>
              <w:rPr>
                <w:i/>
              </w:rPr>
              <w:t xml:space="preserve">Int J Emerg Med</w:t>
            </w:r>
            <w:r>
              <w:t xml:space="preserve"> 2020 (EM-TeBa)</w:t>
            </w:r>
          </w:p>
        </w:tc>
        <w:tc>
          <w:tcPr>
            <w:tcW w:w="3120" w:type="dxa"/>
          </w:tcPr>
          <w:p>
            <w:pPr/>
            <w:r>
              <w:t xml:space="preserve">49%→11.9% comprehension deficit after teach-back; return precautions is the weakest domain (41.3% deficit); added time only 1:39 min</w:t>
            </w:r>
          </w:p>
        </w:tc>
        <w:tc>
          <w:tcPr>
            <w:tcW w:w="3120" w:type="dxa"/>
          </w:tcPr>
          <w:p>
            <w:pPr/>
            <w:r>
              <w:t xml:space="preserve">Motivates Layer 1 (fixed teach-back) and its time budget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Haimovich et al., </w:t>
            </w:r>
            <w:r>
              <w:rPr>
                <w:i/>
              </w:rPr>
              <w:t xml:space="preserve">Acad Emerg Med</w:t>
            </w:r>
            <w:r>
              <w:t xml:space="preserve"> 2024</w:t>
            </w:r>
          </w:p>
        </w:tc>
        <w:tc>
          <w:tcPr>
            <w:tcW w:w="3120" w:type="dxa"/>
          </w:tcPr>
          <w:p>
            <w:pPr/>
            <w:r>
              <w:t xml:space="preserve">Meta-analysis across 1,760 patients (60+) replicates the comprehension-gap pattern across multiple sites, adding medication as a 5th domain</w:t>
            </w:r>
          </w:p>
        </w:tc>
        <w:tc>
          <w:tcPr>
            <w:tcW w:w="3120" w:type="dxa"/>
          </w:tcPr>
          <w:p>
            <w:pPr/>
            <w:r>
              <w:t xml:space="preserve">Supports generalising teach-back beyond one hospital; flags medication as a future domain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Oh, Lee, Yang, Kim, </w:t>
            </w:r>
            <w:r>
              <w:rPr>
                <w:i/>
              </w:rPr>
              <w:t xml:space="preserve">J Patient Saf</w:t>
            </w:r>
            <w:r>
              <w:t xml:space="preserve"> 2021</w:t>
            </w:r>
          </w:p>
        </w:tc>
        <w:tc>
          <w:tcPr>
            <w:tcW w:w="3120" w:type="dxa"/>
          </w:tcPr>
          <w:p>
            <w:pPr/>
            <w:r>
              <w:t xml:space="preserve">Teach-back associated with ~45% reduction in 30-day readmission odds across 5 studies</w:t>
            </w:r>
          </w:p>
        </w:tc>
        <w:tc>
          <w:tcPr>
            <w:tcW w:w="3120" w:type="dxa"/>
          </w:tcPr>
          <w:p>
            <w:pPr/>
            <w:r>
              <w:t xml:space="preserve">Secondary justification — comprehension work may have a downstream attendance effect, not just a recall effect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Gurol-Urganci et al., </w:t>
            </w:r>
            <w:r>
              <w:rPr>
                <w:i/>
              </w:rPr>
              <w:t xml:space="preserve">Cochrane Database Syst Rev</w:t>
            </w:r>
            <w:r>
              <w:t xml:space="preserve"> 2013</w:t>
            </w:r>
          </w:p>
        </w:tc>
        <w:tc>
          <w:tcPr>
            <w:tcW w:w="3120" w:type="dxa"/>
          </w:tcPr>
          <w:p>
            <w:pPr/>
            <w:r>
              <w:t xml:space="preserve">SMS/call reminders raise appointment attendance (~67.8%→78–80%)</w:t>
            </w:r>
          </w:p>
        </w:tc>
        <w:tc>
          <w:tcPr>
            <w:tcW w:w="3120" w:type="dxa"/>
          </w:tcPr>
          <w:p>
            <w:pPr/>
            <w:r>
              <w:t xml:space="preserve">Supports Layer 2's reminder-adjacent logic (least-busy-date suggestion, patient confirmation)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Werner et al., </w:t>
            </w:r>
            <w:r>
              <w:rPr>
                <w:i/>
              </w:rPr>
              <w:t xml:space="preserve">BMC Health Serv Res</w:t>
            </w:r>
            <w:r>
              <w:t xml:space="preserve"> 2023</w:t>
            </w:r>
          </w:p>
        </w:tc>
        <w:tc>
          <w:tcPr>
            <w:tcW w:w="3120" w:type="dxa"/>
          </w:tcPr>
          <w:p>
            <w:pPr/>
            <w:r>
              <w:t xml:space="preserve">Across 61 studies, reminders are the only behavioural-economic lever with consistent evidence; other nudges are under-tested</w:t>
            </w:r>
          </w:p>
        </w:tc>
        <w:tc>
          <w:tcPr>
            <w:tcW w:w="3120" w:type="dxa"/>
          </w:tcPr>
          <w:p>
            <w:pPr/>
            <w:r>
              <w:t xml:space="preserve">Justifies keeping Layer 2 simple (booking-count based suggestion) rather than adding unproven nudges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Sambasivan et al., </w:t>
            </w:r>
            <w:r>
              <w:rPr>
                <w:i/>
              </w:rPr>
              <w:t xml:space="preserve">SOUPS</w:t>
            </w:r>
            <w:r>
              <w:t xml:space="preserve"> 2018</w:t>
            </w:r>
          </w:p>
        </w:tc>
        <w:tc>
          <w:tcPr>
            <w:tcW w:w="3120" w:type="dxa"/>
          </w:tcPr>
          <w:p>
            <w:pPr/>
            <w:r>
              <w:t xml:space="preserve">Qualitative study of 199 women in South Asia on shared-device privacy tactics</w:t>
            </w:r>
          </w:p>
        </w:tc>
        <w:tc>
          <w:tcPr>
            <w:tcW w:w="3120" w:type="dxa"/>
          </w:tcPr>
          <w:p>
            <w:pPr/>
            <w:r>
              <w:t xml:space="preserve">Justifies treating "shared/no phone" as a worklist risk signal rather than attempting a technical messaging-privacy layer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WHO, </w:t>
            </w:r>
            <w:r>
              <w:rPr>
                <w:i/>
              </w:rPr>
              <w:t xml:space="preserve">Digital Interventions for Health System Strengthening</w:t>
            </w:r>
            <w:r>
              <w:t xml:space="preserve">, 2019</w:t>
            </w:r>
          </w:p>
        </w:tc>
        <w:tc>
          <w:tcPr>
            <w:tcW w:w="3120" w:type="dxa"/>
          </w:tcPr>
          <w:p>
            <w:pPr/>
            <w:r>
              <w:t xml:space="preserve">Recommends decision-support tools remain human-in-the-loop in low-resource settings</w:t>
            </w:r>
          </w:p>
        </w:tc>
        <w:tc>
          <w:tcPr>
            <w:tcW w:w="3120" w:type="dxa"/>
          </w:tcPr>
          <w:p>
            <w:pPr/>
            <w:r>
              <w:t xml:space="preserve">Frames the "never decide, only rank" boundary for Layer 3's worklist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India Digital Personal Data Protection Act 2023 / Rules 2025</w:t>
            </w:r>
          </w:p>
        </w:tc>
        <w:tc>
          <w:tcPr>
            <w:tcW w:w="3120" w:type="dxa"/>
          </w:tcPr>
          <w:p>
            <w:pPr/>
            <w:r>
              <w:t xml:space="preserve">Breach-notification and consent-manager obligations now in force; no special category for health data</w:t>
            </w:r>
          </w:p>
        </w:tc>
        <w:tc>
          <w:tcPr>
            <w:tcW w:w="3120" w:type="dxa"/>
          </w:tcPr>
          <w:p>
            <w:pPr/>
            <w:r>
              <w:t xml:space="preserve">Basis for the synthetic-data-only constraint and the pre-deployment consent/approval requirement</w:t>
            </w:r>
          </w:p>
        </w:tc>
      </w:tr>
    </w:tbl>
    <w:p>
      <w:pPr>
        <w:pStyle w:val="Heading3"/>
      </w:pPr>
      <w:r>
        <w:t xml:space="preserve">Synergy Decision Trail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Initial view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AI contribution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Evidence / verification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Final human decision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Should instructions be freely AI-generated?</w:t>
            </w:r>
          </w:p>
        </w:tc>
        <w:tc>
          <w:tcPr>
            <w:tcW w:w="1872" w:type="dxa"/>
          </w:tcPr>
          <w:p>
            <w:pPr/>
            <w:r>
              <w:t xml:space="preserve">Considered free AI-generated explanations for flexibility</w:t>
            </w:r>
          </w:p>
        </w:tc>
        <w:tc>
          <w:tcPr>
            <w:tcW w:w="1872" w:type="dxa"/>
          </w:tcPr>
          <w:p>
            <w:pPr/>
            <w:r>
              <w:t xml:space="preserve">Flagged hallucination/safety risk in unsupervised medical instruction</w:t>
            </w:r>
          </w:p>
        </w:tc>
        <w:tc>
          <w:tcPr>
            <w:tcW w:w="1872" w:type="dxa"/>
          </w:tcPr>
          <w:p>
            <w:pPr/>
            <w:r>
              <w:t xml:space="preserve">CASE BOUNDARY: clinical teams reject systems that could independently affect medical guidance</w:t>
            </w:r>
          </w:p>
        </w:tc>
        <w:tc>
          <w:tcPr>
            <w:tcW w:w="1872" w:type="dxa"/>
          </w:tcPr>
          <w:p>
            <w:pPr/>
            <w:r>
              <w:t xml:space="preserve">Fixed, doctor-approved templates only — no free generation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How to handle a failed teach-back?</w:t>
            </w:r>
          </w:p>
        </w:tc>
        <w:tc>
          <w:tcPr>
            <w:tcW w:w="1872" w:type="dxa"/>
          </w:tcPr>
          <w:p>
            <w:pPr/>
            <w:r>
              <w:t xml:space="preserve">Considered automated re-explanation</w:t>
            </w:r>
          </w:p>
        </w:tc>
        <w:tc>
          <w:tcPr>
            <w:tcW w:w="1872" w:type="dxa"/>
          </w:tcPr>
          <w:p>
            <w:pPr/>
            <w:r>
              <w:t xml:space="preserve">Proposed immediate human (nurse) escalation instead</w:t>
            </w:r>
          </w:p>
        </w:tc>
        <w:tc>
          <w:tcPr>
            <w:tcW w:w="1872" w:type="dxa"/>
          </w:tcPr>
          <w:p>
            <w:pPr/>
            <w:r>
              <w:t xml:space="preserve">CASE BOUNDARY: human clinical review must remain authoritative</w:t>
            </w:r>
          </w:p>
        </w:tc>
        <w:tc>
          <w:tcPr>
            <w:tcW w:w="1872" w:type="dxa"/>
          </w:tcPr>
          <w:p>
            <w:pPr/>
            <w:r>
              <w:t xml:space="preserve">Failed check routes to a nurse, not back to the system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Who controls the final follow-up date?</w:t>
            </w:r>
          </w:p>
        </w:tc>
        <w:tc>
          <w:tcPr>
            <w:tcW w:w="1872" w:type="dxa"/>
          </w:tcPr>
          <w:p>
            <w:pPr/>
            <w:r>
              <w:t xml:space="preserve">Considered auto-booking the least-crowded slot</w:t>
            </w:r>
          </w:p>
        </w:tc>
        <w:tc>
          <w:tcPr>
            <w:tcW w:w="1872" w:type="dxa"/>
          </w:tcPr>
          <w:p>
            <w:pPr/>
            <w:r>
              <w:t xml:space="preserve">Proposed a suggestion within a doctor-set window; patient confirms</w:t>
            </w:r>
          </w:p>
        </w:tc>
        <w:tc>
          <w:tcPr>
            <w:tcW w:w="1872" w:type="dxa"/>
          </w:tcPr>
          <w:p>
            <w:pPr/>
            <w:r>
              <w:t xml:space="preserve">CASE EVIDENCE: patients travel long distances with constraints the system cannot see</w:t>
            </w:r>
          </w:p>
        </w:tc>
        <w:tc>
          <w:tcPr>
            <w:tcW w:w="1872" w:type="dxa"/>
          </w:tcPr>
          <w:p>
            <w:pPr/>
            <w:r>
              <w:t xml:space="preserve">Patient/relative makes the final choice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How to treat contact problems?</w:t>
            </w:r>
          </w:p>
        </w:tc>
        <w:tc>
          <w:tcPr>
            <w:tcW w:w="1872" w:type="dxa"/>
          </w:tcPr>
          <w:p>
            <w:pPr/>
            <w:r>
              <w:t xml:space="preserve">Treated as a secondary operational detail</w:t>
            </w:r>
          </w:p>
        </w:tc>
        <w:tc>
          <w:tcPr>
            <w:tcW w:w="1872" w:type="dxa"/>
          </w:tcPr>
          <w:p>
            <w:pPr/>
            <w:r>
              <w:t xml:space="preserve">Elevated contact risk to a first-class prioritisation signal</w:t>
            </w:r>
          </w:p>
        </w:tc>
        <w:tc>
          <w:tcPr>
            <w:tcW w:w="1872" w:type="dxa"/>
          </w:tcPr>
          <w:p>
            <w:pPr/>
            <w:r>
              <w:t xml:space="preserve">CASE EVIDENCE: 19% shared, 7% unreachable, some patients with no phone</w:t>
            </w:r>
          </w:p>
        </w:tc>
        <w:tc>
          <w:tcPr>
            <w:tcW w:w="1872" w:type="dxa"/>
          </w:tcPr>
          <w:p>
            <w:pPr/>
            <w:r>
              <w:t xml:space="preserve">Contact risk made a core ranking signal (no phone = high priority)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Should the system infer urgency from notes?</w:t>
            </w:r>
          </w:p>
        </w:tc>
        <w:tc>
          <w:tcPr>
            <w:tcW w:w="1872" w:type="dxa"/>
          </w:tcPr>
          <w:p>
            <w:pPr/>
            <w:r>
              <w:t xml:space="preserve">Considered scoring urgency from free-text notes</w:t>
            </w:r>
          </w:p>
        </w:tc>
        <w:tc>
          <w:tcPr>
            <w:tcW w:w="1872" w:type="dxa"/>
          </w:tcPr>
          <w:p>
            <w:pPr/>
            <w:r>
              <w:t xml:space="preserve">Warned against inventing clinical meaning not explicitly written</w:t>
            </w:r>
          </w:p>
        </w:tc>
        <w:tc>
          <w:tcPr>
            <w:tcW w:w="1872" w:type="dxa"/>
          </w:tcPr>
          <w:p>
            <w:pPr/>
            <w:r>
              <w:t xml:space="preserve">CASE BOUNDARY + SAFETY: system must never replace clinical judgement</w:t>
            </w:r>
          </w:p>
        </w:tc>
        <w:tc>
          <w:tcPr>
            <w:tcW w:w="1872" w:type="dxa"/>
          </w:tcPr>
          <w:p>
            <w:pPr/>
            <w:r>
              <w:t xml:space="preserve">Never infer urgency; ambiguous notes go to human review</w:t>
            </w:r>
          </w:p>
        </w:tc>
      </w:tr>
    </w:tbl>
    <w:p>
      <w:pPr>
        <w:pStyle w:val="Heading2"/>
      </w:pPr>
      <w:r>
        <w:t xml:space="preserve">4. Decide — Problem Statement</w:t>
      </w:r>
    </w:p>
    <w:p>
      <w:pPr/>
      <w:r>
        <w:rPr>
          <w:b/>
        </w:rPr>
        <w:t xml:space="preserve">Selected problem (Framing C).</w:t>
      </w:r>
      <w:r>
        <w:t xml:space="preserve"> In a high-volume district OPD setting, discharge comprehension, follow-up scheduling, and patient contact reachability currently exist as three disconnected signals; no mechanism combines them into a ranked, explainable call-list for a records/CHW team that does not have time to review every case individually — and no part of any such system may make or imply a clinical decision.</w:t>
      </w:r>
    </w:p>
    <w:p>
      <w:pPr/>
      <w:r>
        <w:rPr>
          <w:b/>
        </w:rPr>
        <w:t xml:space="preserve">Why this is more tractable than A or B alone.</w:t>
      </w:r>
      <w:r>
        <w:t xml:space="preserve"> It does not require predicting clinical outcomes (which the EM-TeBa evidence base cannot support), does not require booking automation (which the case explicitly treats as a trust risk), and can be built and tested entirely on synthetic data with a transparent, rule-based score — matching the Round 1 constraint that a meaningful working slice must be demonstrable, not a complete product.</w:t>
      </w:r>
    </w:p>
    <w:p>
      <w:pPr>
        <w:pStyle w:val="Heading2"/>
      </w:pPr>
      <w:r>
        <w:t xml:space="preserve">5. Design — Solution Overview</w:t>
      </w:r>
    </w:p>
    <w:p>
      <w:pPr/>
      <w:r>
        <w:t xml:space="preserve">The </w:t>
      </w:r>
      <w:r>
        <w:rPr>
          <w:b/>
        </w:rPr>
        <w:t xml:space="preserve">Follow-Up Reliability Stack</w:t>
      </w:r>
      <w:r>
        <w:t xml:space="preserve"> implements the chosen problem as three layers. Full functional detail, interfaces, and acceptance tests are in the companion SRS document; this section gives the workflow summary and the AI/human split.</w:t>
      </w:r>
    </w:p>
    <w:p>
      <w:pPr/>
      <w:r>
        <w:drawing>
          <wp:inline distT="0" distB="0" distL="0" distR="0">
            <wp:extent cx="5486400" cy="3092334"/>
            <wp:docPr id="1" name="image1" descr="Three-layer workflow: Understanding (teach-back), Follow-Up Planning (scheduling), Clinician Intelligence (note structuring and worklist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hree-layer workflow: Understanding (teach-back), Follow-Up Planning (scheduling), Clinician Intelligence (note structuring and worklist)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AI role:</w:t>
      </w:r>
      <w:r>
        <w:t xml:space="preserve"> plays a fixed template, scores a Pass/Fail answer, counts existing bookings to suggest quiet dates, extracts only words the clinician actually wrote, and computes a transparent rule-based score. </w:t>
      </w:r>
      <w:r>
        <w:rPr>
          <w:b/>
        </w:rPr>
        <w:t xml:space="preserve">Human role:</w:t>
      </w:r>
      <w:r>
        <w:t xml:space="preserve"> approves the template content, sets the safe follow-up window, writes the urgency note, confirms the final date, resolves every unclear note and every failed teach-back, and decides who to actually call from the worklist.</w:t>
      </w:r>
    </w:p>
    <w:p>
      <w:pPr>
        <w:pStyle w:val="Heading2"/>
      </w:pPr>
      <w:r>
        <w:t xml:space="preserve">6. Verify — Acceptance Approach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Baseline comparison:</w:t>
      </w:r>
      <w:r>
        <w:t xml:space="preserve"> current manual process (no prioritisation, ad-hoc calling order) vs. worklist-ordered calling, on the same synthetic patient set.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Outcome metric:</w:t>
      </w:r>
      <w:r>
        <w:t xml:space="preserve"> for a fixed calling-time budget, the share of high-risk synthetic patients (by the scoring formula) actually reached, worklist-ordered vs. unordered.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Harm / exclusion metric:</w:t>
      </w:r>
      <w:r>
        <w:t xml:space="preserve"> rate of unclear clinician notes routed to human review (should be non-zero and visible — a 0% rate would suggest the system is silently guessing).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Validity check (flagged as a known gap):</w:t>
      </w:r>
      <w:r>
        <w:t xml:space="preserve"> whether teach-back Pass/Fail actually correlates with the EM-TeBa four-domain comprehension score has not yet been tested and should precede any claim that the fixed-template approach preserves EM-TeBa's effect size.</w:t>
      </w:r>
    </w:p>
    <w:p>
      <w:pPr>
        <w:pStyle w:val="Heading2"/>
      </w:pPr>
      <w:r>
        <w:t xml:space="preserve">7. Scope and Boundary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In scope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Out of scope (hard rule)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Fixed, doctor-approved Hindi teach-back with Pass/Fail capture</w:t>
            </w:r>
          </w:p>
        </w:tc>
        <w:tc>
          <w:tcPr>
            <w:tcW w:w="4680" w:type="dxa"/>
          </w:tcPr>
          <w:p>
            <w:pPr/>
            <w:r>
              <w:t xml:space="preserve">Diagnosing, triaging, or changing treatment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Least-busy-date suggestion inside a doctor-set window; patient confirms</w:t>
            </w:r>
          </w:p>
        </w:tc>
        <w:tc>
          <w:tcPr>
            <w:tcW w:w="4680" w:type="dxa"/>
          </w:tcPr>
          <w:p>
            <w:pPr/>
            <w:r>
              <w:t xml:space="preserve">Automatic appointment booking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Structured extraction of only what the clinician wrote</w:t>
            </w:r>
          </w:p>
        </w:tc>
        <w:tc>
          <w:tcPr>
            <w:tcW w:w="4680" w:type="dxa"/>
          </w:tcPr>
          <w:p>
            <w:pPr/>
            <w:r>
              <w:t xml:space="preserve">Inventing or inferring clinical urgency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Scored, reason-coded worklist for records/CHW staff</w:t>
            </w:r>
          </w:p>
        </w:tc>
        <w:tc>
          <w:tcPr>
            <w:tcW w:w="4680" w:type="dxa"/>
          </w:tcPr>
          <w:p>
            <w:pPr/>
            <w:r>
              <w:t xml:space="preserve">Deciding who gets called, or replacing CHW judgement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Full audit log of every system action</w:t>
            </w:r>
          </w:p>
        </w:tc>
        <w:tc>
          <w:tcPr>
            <w:tcW w:w="4680" w:type="dxa"/>
          </w:tcPr>
          <w:p>
            <w:pPr/>
            <w:r>
              <w:t xml:space="preserve">Any real patient data in the Round 1 prototype</w:t>
            </w:r>
          </w:p>
        </w:tc>
      </w:tr>
    </w:tbl>
    <w:p>
      <w:pPr>
        <w:pStyle w:val="Heading2"/>
      </w:pPr>
      <w:r>
        <w:t xml:space="preserve">8. References</w:t>
      </w:r>
    </w:p>
    <w:p>
      <w:pPr>
        <w:pStyle w:val="ListParagraph"/>
        <w:numPr>
          <w:ilvl w:val="0"/>
          <w:numId w:val="4"/>
        </w:numPr>
      </w:pPr>
      <w:r>
        <w:t xml:space="preserve">AI Synergy Hackathon 2026, Round 1 Participant Case File (ABV-IIITM Gwalior / Sangillence) — Case 03: Healthcare, "The Follow-Up Blind Spot." Source of all CASE EVIDENCE in this brief.</w:t>
      </w:r>
    </w:p>
    <w:p>
      <w:pPr>
        <w:pStyle w:val="ListParagraph"/>
        <w:numPr>
          <w:ilvl w:val="0"/>
          <w:numId w:val="4"/>
        </w:numPr>
      </w:pPr>
      <w:r>
        <w:t xml:space="preserve">Mahajan M, Hogewoning JA, Zewald JJA, Kerkmeer M, Feitsma M, van Rijssel DA. The impact of teach-back on patient recall and understanding of discharge information in the emergency department: the Emergency Teach-Back (EM-TeBa) study. </w:t>
      </w:r>
      <w:r>
        <w:rPr>
          <w:i/>
        </w:rPr>
        <w:t xml:space="preserve">Int J Emerg Med.</w:t>
      </w:r>
      <w:r>
        <w:t xml:space="preserve"> 2020;13:49. doi:10.1186/s12245-020-00306-9</w:t>
      </w:r>
    </w:p>
    <w:p>
      <w:pPr>
        <w:pStyle w:val="ListParagraph"/>
        <w:numPr>
          <w:ilvl w:val="0"/>
          <w:numId w:val="4"/>
        </w:numPr>
      </w:pPr>
      <w:r>
        <w:t xml:space="preserve">Haimovich AD, Mulqueen S, Carreras-Tartak J, et al. Discharge instruction comprehension by older adults in the emergency department: a systematic review and meta-analysis. </w:t>
      </w:r>
      <w:r>
        <w:rPr>
          <w:i/>
        </w:rPr>
        <w:t xml:space="preserve">Acad Emerg Med.</w:t>
      </w:r>
      <w:r>
        <w:t xml:space="preserve"> 2024;31(11):1165–1172.</w:t>
      </w:r>
    </w:p>
    <w:p>
      <w:pPr>
        <w:pStyle w:val="ListParagraph"/>
        <w:numPr>
          <w:ilvl w:val="0"/>
          <w:numId w:val="4"/>
        </w:numPr>
      </w:pPr>
      <w:r>
        <w:t xml:space="preserve">Oh EG, Lee HJ, Yang YL, Kim YM. Effectiveness of discharge education with the teach-back method on 30-day readmission: a systematic review. </w:t>
      </w:r>
      <w:r>
        <w:rPr>
          <w:i/>
        </w:rPr>
        <w:t xml:space="preserve">J Patient Saf.</w:t>
      </w:r>
      <w:r>
        <w:t xml:space="preserve"> 2021;17(4):305–310.</w:t>
      </w:r>
    </w:p>
    <w:p>
      <w:pPr>
        <w:pStyle w:val="ListParagraph"/>
        <w:numPr>
          <w:ilvl w:val="0"/>
          <w:numId w:val="4"/>
        </w:numPr>
      </w:pPr>
      <w:r>
        <w:t xml:space="preserve">Yen PH, Leasure AR. Use and effectiveness of the teach-back method in patient education and health outcomes. </w:t>
      </w:r>
      <w:r>
        <w:rPr>
          <w:i/>
        </w:rPr>
        <w:t xml:space="preserve">Fed Pract.</w:t>
      </w:r>
      <w:r>
        <w:t xml:space="preserve"> 2019;36(6):284–289.</w:t>
      </w:r>
    </w:p>
    <w:p>
      <w:pPr>
        <w:pStyle w:val="ListParagraph"/>
        <w:numPr>
          <w:ilvl w:val="0"/>
          <w:numId w:val="4"/>
        </w:numPr>
      </w:pPr>
      <w:r>
        <w:t xml:space="preserve">Agency for Healthcare Research and Quality (AHRQ). Health Literacy Universal Precautions Toolkit, 2nd ed., Tool #5 — Use the Teach-Back Method. Rockville, MD: AHRQ, 2020. ahrq.gov/health-literacy/improve/precautions/tool5.html</w:t>
      </w:r>
    </w:p>
    <w:p>
      <w:pPr>
        <w:pStyle w:val="ListParagraph"/>
        <w:numPr>
          <w:ilvl w:val="0"/>
          <w:numId w:val="4"/>
        </w:numPr>
      </w:pPr>
      <w:r>
        <w:t xml:space="preserve">Gurol-Urganci I, de Jongh T, Vodopivec-Jamsek V, Atun R, Car J. Mobile phone messaging reminders for attendance at healthcare appointments. </w:t>
      </w:r>
      <w:r>
        <w:rPr>
          <w:i/>
        </w:rPr>
        <w:t xml:space="preserve">Cochrane Database Syst Rev.</w:t>
      </w:r>
      <w:r>
        <w:t xml:space="preserve"> 2013;(12):CD007458.</w:t>
      </w:r>
    </w:p>
    <w:p>
      <w:pPr>
        <w:pStyle w:val="ListParagraph"/>
        <w:numPr>
          <w:ilvl w:val="0"/>
          <w:numId w:val="4"/>
        </w:numPr>
      </w:pPr>
      <w:r>
        <w:t xml:space="preserve">Werner K, Alsuhaibani SA, Alsukait RF, et al. Behavioural economic interventions to reduce health care appointment non-attendance: a systematic review and meta-analysis. </w:t>
      </w:r>
      <w:r>
        <w:rPr>
          <w:i/>
        </w:rPr>
        <w:t xml:space="preserve">BMC Health Serv Res.</w:t>
      </w:r>
      <w:r>
        <w:t xml:space="preserve"> 2023;23:1136.</w:t>
      </w:r>
    </w:p>
    <w:p>
      <w:pPr>
        <w:pStyle w:val="ListParagraph"/>
        <w:numPr>
          <w:ilvl w:val="0"/>
          <w:numId w:val="4"/>
        </w:numPr>
      </w:pPr>
      <w:r>
        <w:t xml:space="preserve">Singh G, Manjunatha N, Rao S, et al. Use of mobile phone technology to improve follow-up at a community mental health clinic: a randomized control trial. </w:t>
      </w:r>
      <w:r>
        <w:rPr>
          <w:i/>
        </w:rPr>
        <w:t xml:space="preserve">Indian J Psychol Med.</w:t>
      </w:r>
      <w:r>
        <w:t xml:space="preserve"> 2017;39(1).</w:t>
      </w:r>
    </w:p>
    <w:p>
      <w:pPr>
        <w:pStyle w:val="ListParagraph"/>
        <w:numPr>
          <w:ilvl w:val="0"/>
          <w:numId w:val="4"/>
        </w:numPr>
      </w:pPr>
      <w:r>
        <w:t xml:space="preserve">Murthy N, Chandrasekharan S, Prakash MP, et al. Effects of an mHealth voice message service (mMitra) on maternal health knowledge and practices of low-income women in India. </w:t>
      </w:r>
      <w:r>
        <w:rPr>
          <w:i/>
        </w:rPr>
        <w:t xml:space="preserve">BMC Public Health.</w:t>
      </w:r>
      <w:r>
        <w:t xml:space="preserve"> 2020;20:820.</w:t>
      </w:r>
    </w:p>
    <w:p>
      <w:pPr>
        <w:pStyle w:val="ListParagraph"/>
        <w:numPr>
          <w:ilvl w:val="0"/>
          <w:numId w:val="4"/>
        </w:numPr>
      </w:pPr>
      <w:r>
        <w:t xml:space="preserve">Sambasivan N, Checkley G, Batool A, et al. "Privacy is not for me, it's for those rich women": performative privacy practices on mobile phones by women in South Asia. </w:t>
      </w:r>
      <w:r>
        <w:rPr>
          <w:i/>
        </w:rPr>
        <w:t xml:space="preserve">Proc. SOUPS</w:t>
      </w:r>
      <w:r>
        <w:t xml:space="preserve"> 2018:127–142.</w:t>
      </w:r>
    </w:p>
    <w:p>
      <w:pPr>
        <w:pStyle w:val="ListParagraph"/>
        <w:numPr>
          <w:ilvl w:val="0"/>
          <w:numId w:val="4"/>
        </w:numPr>
      </w:pPr>
      <w:r>
        <w:t xml:space="preserve">World Health Organization. WHO Guideline: Recommendations on Digital Interventions for Health System Strengthening. Geneva: WHO, 2019. ISBN 978-92-4-155050-5.</w:t>
      </w:r>
    </w:p>
    <w:p>
      <w:pPr>
        <w:pStyle w:val="ListParagraph"/>
        <w:numPr>
          <w:ilvl w:val="0"/>
          <w:numId w:val="4"/>
        </w:numPr>
      </w:pPr>
      <w:r>
        <w:t xml:space="preserve">Government of India. Digital Personal Data Protection Act, 2023; Digital Personal Data Protection Rules, 2025 (notified Nov 2025).</w:t>
      </w:r>
    </w:p>
    <w:p>
      <w:pPr/>
      <w:r>
        <w:rPr>
          <w:b/>
        </w:rPr>
        <w:t xml:space="preserve">Reused assets declaration:</w:t>
      </w:r>
      <w:r>
        <w:t xml:space="preserve"> the three-layer workflow diagram above is original to this submission, drawn from the team's own SRS. The EM-TeBa figures and quoted statistics are reproduced from the cited open-access paper (CC BY 4.0) with attribution.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Case Investigation  Problem-Solution Brief</dc:title>
  <dc:description>Claude Docs node/4dd92242-c8d2@2 docx-w6</dc:description>
  <cp:revision>2</cp:revision>
</cp:coreProperties>
</file>