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PMU-C (บพข.) – Draft Proposal: Commercialisation of Kon Pop Detection as a Thai AI Medical Device for Oral Cancer Screening</w:t>
      </w:r>
    </w:p>
    <w:p>
      <w:r>
        <w:rPr>
          <w:b/>
        </w:rPr>
        <w:t>Why PMU-C:</w:t>
      </w:r>
      <w:r>
        <w:t xml:space="preserve"> PMU-C funds research that becomes a </w:t>
      </w:r>
      <w:r>
        <w:rPr>
          <w:b/>
        </w:rPr>
        <w:t>product with a market</w:t>
      </w:r>
      <w:r>
        <w:t xml:space="preserve">, typically with a </w:t>
      </w:r>
      <w:r>
        <w:rPr>
          <w:b/>
        </w:rPr>
        <w:t>private-sector partner contributing co-funding (in-cash and/or in-kind)</w:t>
      </w:r>
      <w:r>
        <w:t>. KPD is that private partner; Mahidol University leads the research.</w:t>
      </w:r>
    </w:p>
    <w:p>
      <w:r>
        <w:rPr>
          <w:b/>
        </w:rPr>
        <w:t>Applicant:</w:t>
      </w:r>
      <w:r>
        <w:t xml:space="preserve"> Mahidol University (PI: Dr. Narawitchz Wareekul) + </w:t>
      </w:r>
      <w:r>
        <w:rPr>
          <w:b/>
        </w:rPr>
        <w:t>KPD as industry partner</w:t>
      </w:r>
      <w:r>
        <w:t xml:space="preserve"> </w:t>
      </w:r>
      <w:r>
        <w:rPr>
          <w:b/>
        </w:rPr>
        <w:t>[CONFIRM whether PMU-C requires the private partner to be a Thai-registered company. If KPD is US-registered, you may need a Thai subsidiary or Thai partner company.]</w:t>
      </w:r>
    </w:p>
    <w:p>
      <w:r>
        <w:rPr>
          <w:b/>
        </w:rPr>
        <w:t>Submission:</w:t>
      </w:r>
      <w:r>
        <w:t xml:space="preserve"> NRIIS (Thai); often a concept proposal first </w:t>
      </w:r>
      <w:r>
        <w:rPr>
          <w:b/>
        </w:rPr>
        <w:t>[CONFIRM programme platform (medical/health industry, digital/AI), co-funding %, deadline]</w:t>
      </w:r>
    </w:p>
    <w:p>
      <w:pPr>
        <w:pStyle w:val="Heading2"/>
      </w:pPr>
      <w:r>
        <w:t>ชื่อโครงการ</w:t>
      </w:r>
    </w:p>
    <w:p>
      <w:r>
        <w:rPr>
          <w:b/>
        </w:rPr>
        <w:t>TH:</w:t>
      </w:r>
      <w:r>
        <w:t xml:space="preserve"> การพัฒนาต้นแบบผลิตภัณฑ์ซอฟต์แวร์ทางการแพทย์ปัญญาประดิษฐ์ Kon Pop Detection สำหรับคัดกรองมะเร็งช่องปาก สู่การขึ้นทะเบียนและใช้งานเชิงพาณิชย์</w:t>
      </w:r>
    </w:p>
    <w:p>
      <w:r>
        <w:rPr>
          <w:b/>
        </w:rPr>
        <w:t>EN:</w:t>
      </w:r>
      <w:r>
        <w:t xml:space="preserve"> Developing the Kon Pop Detection AI medical software for oral cancer screening toward regulatory registration and commercial deployment</w:t>
      </w:r>
    </w:p>
    <w:p>
      <w:pPr>
        <w:pStyle w:val="Heading2"/>
      </w:pPr>
      <w:r>
        <w:t>Product</w:t>
      </w:r>
    </w:p>
    <w:p>
      <w:r>
        <w:t>A software-as-a-service medical device: volunteer mobile app (risk survey + guided photo capture + image-quality check), AI risk scoring (fine-tuned MedGemma + YOLO), and clinician triage dashboard, plus training materials.</w:t>
      </w:r>
    </w:p>
    <w:p>
      <w:pPr>
        <w:pStyle w:val="Heading2"/>
      </w:pPr>
      <w:r>
        <w:t>Problem &amp; customer need</w:t>
      </w:r>
    </w:p>
    <w:p>
      <w:r>
        <w:t xml:space="preserve">See HSRI §1. </w:t>
      </w:r>
      <w:r>
        <w:rPr>
          <w:b/>
        </w:rPr>
        <w:t>Customers:</w:t>
      </w:r>
      <w:r>
        <w:t xml:space="preserve"> community and provincial hospitals, Health Region offices, the MOPH, NHSO, and private dental networks; later, export to ASEAN and South Asian health systems.</w:t>
      </w:r>
    </w:p>
    <w:p>
      <w:pPr>
        <w:pStyle w:val="Heading2"/>
      </w:pPr>
      <w:r>
        <w:t>Market</w:t>
      </w:r>
    </w:p>
    <w:p>
      <w:pPr>
        <w:pStyle w:val="ListBullet"/>
      </w:pPr>
      <w:r>
        <w:rPr>
          <w:b/>
        </w:rPr>
        <w:t>Thailand:</w:t>
      </w:r>
      <w:r>
        <w:t xml:space="preserve"> [FILL: number of hospitals and sub-district health promoting hospitals (รพ.สต.) running oral cancer screening; adults aged 40+ targeted each year; price per screen → annual market]</w:t>
      </w:r>
    </w:p>
    <w:p>
      <w:pPr>
        <w:pStyle w:val="ListBullet"/>
      </w:pPr>
      <w:r>
        <w:rPr>
          <w:b/>
        </w:rPr>
        <w:t>Regional:</w:t>
      </w:r>
      <w:r>
        <w:t xml:space="preserve"> pitch deck figures, TAM US$2.4B / SAM US$1.1B / SOM US$75M [FILL: show calculation and sources]</w:t>
      </w:r>
    </w:p>
    <w:p>
      <w:pPr>
        <w:pStyle w:val="Heading2"/>
      </w:pPr>
      <w:r>
        <w:t>Competitive landscape</w:t>
      </w:r>
    </w:p>
    <w:p>
      <w:r>
        <w:t>Paper-based screening (status quo); MeMoSA (Malaysia) and academic models. KPD's differentiation: built on Thai community images, fits the volunteer workflow, triage dashboard, image-quality gate, local clinical leadership.</w:t>
      </w:r>
    </w:p>
    <w:p>
      <w:pPr>
        <w:pStyle w:val="Heading2"/>
      </w:pPr>
      <w:r>
        <w:t>TRL progression and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TRL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Month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MVP with quality gate and offline mode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[FILL] →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Multi-site validation complete (link to NRCT project)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ISO 13485 quality system and IEC 62304 software lifecycle documentation started; risk management (ISO 14971)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6–12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Thai FDA pre-submission consultation; classification as Software as a Medical Device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6–7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Registration dossier submitted [CONFIRM the Thai FDA pathway for SaMD]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15–18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First paying customers (hospital / Health Region)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7–8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18</w:t>
            </w:r>
          </w:p>
        </w:tc>
      </w:tr>
    </w:tbl>
    <w:p/>
    <w:p>
      <w:pPr>
        <w:pStyle w:val="Heading2"/>
      </w:pPr>
      <w:r>
        <w:t>Regulatory plan</w:t>
      </w:r>
    </w:p>
    <w:p>
      <w:r>
        <w:t xml:space="preserve">Thai FDA medical device regulation (Medical Device Act; SaMD classification </w:t>
      </w:r>
      <w:r>
        <w:rPr>
          <w:b/>
        </w:rPr>
        <w:t>[CONFIRM current Thai FDA guidance on AI/SaMD]</w:t>
      </w:r>
      <w:r>
        <w:t>); clinical evidence from the NRCT and HSRI studies; cybersecurity and PDPA compliance.</w:t>
      </w:r>
    </w:p>
    <w:p>
      <w:pPr>
        <w:pStyle w:val="Heading2"/>
      </w:pPr>
      <w:r>
        <w:t>IP &amp; licensing</w:t>
      </w:r>
    </w:p>
    <w:p>
      <w:r>
        <w:t>[FILL: who owns the model, code and data; Mahidol–KPD licence terms; royalty sharing; patent/copyright filings]</w:t>
      </w:r>
    </w:p>
    <w:p>
      <w:pPr>
        <w:pStyle w:val="Heading2"/>
      </w:pPr>
      <w:r>
        <w:t>Business model &amp; commercialisation</w:t>
      </w:r>
    </w:p>
    <w:p>
      <w:r>
        <w:t>SaaS priced per screen or per facility per year [FILL]; government procurement route [FILL: e.g. listing in the Thai Innovation List (บัญชีนวัตกรรมไทย), which allows government purchase of Thai innovations; CONFIRM eligibility]; partnership with NHSO for financing.</w:t>
      </w:r>
    </w:p>
    <w:p>
      <w:pPr>
        <w:pStyle w:val="Heading2"/>
      </w:pPr>
      <w:r>
        <w:t>Private partner contribution [FILL amounts]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/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In-cash (THB)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In-kind (THB)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KPD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Engineering time, cloud infrastructure, software licences, regulatory consultant</w:t>
            </w:r>
          </w:p>
        </w:tc>
      </w:tr>
    </w:tbl>
    <w:p/>
    <w:p>
      <w:pPr>
        <w:pStyle w:val="Heading2"/>
      </w:pPr>
      <w:r>
        <w:t>Budget (PMU + partner)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PMU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KPD in-cash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KPD in-kind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sz w:val="19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Wages (engineers, regulatory specialist, research assistants)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Materials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Operating (validation, QMS, regulatory fees, travel)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Equipment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9"/>
              </w:rPr>
              <w:t>Overhead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Team</w:t>
      </w:r>
    </w:p>
    <w:p>
      <w:r>
        <w:t>PI Dr. Narawitchz Wareekul (clinical); Ernest Choi (business); Amir Fleurizard (technology); [FILL: regulatory/QMS consultant; health economist; Mahidol tech-transfer office contact]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