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NIH PA-25-253 Exploratory Grants in Cancer Control (R21) – Draft Specific Aims (academic-led)</w:t>
      </w:r>
    </w:p>
    <w:p>
      <w:r>
        <w:rPr>
          <w:b/>
        </w:rPr>
        <w:t>Use only if a university leads</w:t>
      </w:r>
      <w:r>
        <w:t xml:space="preserve"> (e.g. University of Michigan, Harvard, or Mahidol as a foreign applicant). For KPD itself, the </w:t>
      </w:r>
      <w:r>
        <w:rPr>
          <w:b/>
        </w:rPr>
        <w:t>SBIR/STTR</w:t>
      </w:r>
      <w:r>
        <w:t xml:space="preserve"> route (file 04) fits better.</w:t>
      </w:r>
    </w:p>
    <w:p>
      <w:r>
        <w:rPr>
          <w:b/>
        </w:rPr>
        <w:t>Next realistic due date:</w:t>
      </w:r>
      <w:r>
        <w:t xml:space="preserve"> 16 Feb 2027 (standard R21 date) </w:t>
      </w:r>
      <w:r>
        <w:rPr>
          <w:b/>
        </w:rPr>
        <w:t>[CONFIRM]</w:t>
      </w:r>
      <w:r>
        <w:t>. Budget ≤ $275k direct over 2 years.</w:t>
      </w:r>
    </w:p>
    <w:p>
      <w:r>
        <w:rPr>
          <w:b/>
        </w:rPr>
        <w:t>Critical scope rule:</w:t>
      </w:r>
      <w:r>
        <w:t xml:space="preserve"> developing new diagnostic technology is </w:t>
      </w:r>
      <w:r>
        <w:rPr>
          <w:b/>
        </w:rPr>
        <w:t>non-responsive</w:t>
      </w:r>
      <w:r>
        <w:t xml:space="preserve">. This R21 must study </w:t>
      </w:r>
      <w:r>
        <w:rPr>
          <w:b/>
        </w:rPr>
        <w:t>screening delivery</w:t>
      </w:r>
      <w:r>
        <w:t xml:space="preserve"> (cancer control / health-care delivery research) using the existing KPD tool.</w:t>
      </w:r>
    </w:p>
    <w:p>
      <w:r>
        <w:rPr>
          <w:b/>
        </w:rPr>
        <w:t>Foreign partners:</w:t>
      </w:r>
      <w:r>
        <w:t xml:space="preserve"> NIH no longer funds foreign subawards in new applications. Ask the NCI programme officer how Thai sites can take part (unfunded collaborators / consultants / the PF5 international structure). See templates/10.</w:t>
      </w:r>
    </w:p>
    <w:p>
      <w:pPr>
        <w:ind w:left="360"/>
      </w:pPr>
      <w:r>
        <w:rPr>
          <w:i/>
          <w:color w:val="334466"/>
        </w:rPr>
        <w:t>NIH does not treat AI-written applications as original (NOT-OD-25-132). Rewrite before use.</w:t>
      </w:r>
    </w:p>
    <w:p>
      <w:pPr>
        <w:pStyle w:val="Heading2"/>
      </w:pPr>
      <w:r>
        <w:t>Title</w:t>
      </w:r>
    </w:p>
    <w:p>
      <w:r>
        <w:t>Feasibility and effectiveness of AI-assisted oral cancer screening delivered by community health volunteers in northeast Thailand</w:t>
      </w:r>
    </w:p>
    <w:p>
      <w:pPr>
        <w:pStyle w:val="Heading2"/>
      </w:pPr>
      <w:r>
        <w:t>Specific Aims (draft)</w:t>
      </w:r>
    </w:p>
    <w:p>
      <w:r>
        <w:t>Oral cancer is a leading cause of cancer death in South and Southeast Asia and among some underserved US populations who use areca nut and tobacco. Screening by trained non-specialists can reduce oral cancer mortality, but its effectiveness is limited by variable examiner accuracy, scarce specialists, and weak referral pathways. Thailand's national programme relies on more than a million village health volunteers who screen adults aged 40+ using a paper risk form after about one day of training. A low-cost smartphone tool with AI triage and remote dentist review (Kon Pop Detection) could improve referral accuracy and speed, but its real-world feasibility, effect on the care pathway, and costs are unknown.</w:t>
      </w:r>
    </w:p>
    <w:p>
      <w:r>
        <w:rPr>
          <w:b/>
        </w:rPr>
        <w:t>Objective:</w:t>
      </w:r>
      <w:r>
        <w:t xml:space="preserve"> to evaluate the feasibility and early effectiveness of AI-assisted volunteer screening with remote triage, compared with standard paper-based screening, in Health Region 10, Thailand.</w:t>
      </w:r>
    </w:p>
    <w:p>
      <w:r>
        <w:rPr>
          <w:b/>
        </w:rPr>
        <w:t>Aim 1. Feasibility and acceptability.</w:t>
      </w:r>
      <w:r>
        <w:t xml:space="preserve"> Among ~300 volunteers and [FILL] adults screened across [FILL] districts, measure recruitment, image-quality pass rate, time per screen, usability (SUS), and acceptability to volunteers, dentists and patients (mixed methods).</w:t>
      </w:r>
    </w:p>
    <w:p>
      <w:r>
        <w:rPr>
          <w:b/>
        </w:rPr>
        <w:t>Aim 2. Care-pathway effectiveness.</w:t>
      </w:r>
      <w:r>
        <w:t xml:space="preserve"> Compare AI-assisted districts with matched standard-screening districts [FILL design: stepped-wedge or matched comparison] on (a) positive predictive value of referrals, (b) referral completion, and (c) time from screening to specialist evaluation and biopsy.</w:t>
      </w:r>
    </w:p>
    <w:p>
      <w:r>
        <w:rPr>
          <w:b/>
        </w:rPr>
        <w:t>Aim 3. Costs.</w:t>
      </w:r>
      <w:r>
        <w:t xml:space="preserve"> Estimate cost per screen and cost per high-risk lesion appropriately referred, from health-system and patient perspectives, to inform a future R01 pragmatic trial and policy decisions.</w:t>
      </w:r>
    </w:p>
    <w:p>
      <w:r>
        <w:rPr>
          <w:b/>
        </w:rPr>
        <w:t>Impact:</w:t>
      </w:r>
      <w:r>
        <w:t xml:space="preserve"> effect sizes, feasibility parameters and costs to design a definitive pragmatic trial (PAR-25-167 successor), and a model for AI-assisted cancer screening by community health workers transferable to other low-resource and underserved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