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2-Page Concept Note (reusable) – Kon Pop Detection</w:t>
      </w:r>
    </w:p>
    <w:p>
      <w:r>
        <w:rPr>
          <w:b/>
        </w:rPr>
        <w:t>Use for first contact with funders that ask for a short concept or letter of inquiry:</w:t>
      </w:r>
      <w:r>
        <w:t xml:space="preserve"> Google.org, Gates Foundation (only if a call includes AI/NCDs), Rotary (global grant via clubs), Temasek Foundation, Wellcome (eligibility enquiry), IARC (collaboration), UICC, TCELS, depa, NIA, e-ASIA partners, JST NEXUS / AMED partners, Cancer Grand Challenges teams.</w:t>
      </w:r>
    </w:p>
    <w:p>
      <w:r>
        <w:t>Edit the "Ask" section for each funder.</w:t>
      </w:r>
    </w:p>
    <w:p>
      <w:pPr>
        <w:pStyle w:val="Heading2"/>
      </w:pPr>
      <w:r>
        <w:t>Kon Pop Detection: AI-assisted oral cancer screening for underserved communities</w:t>
      </w:r>
    </w:p>
    <w:p>
      <w:r>
        <w:rPr>
          <w:b/>
        </w:rPr>
        <w:t>Organisation:</w:t>
      </w:r>
      <w:r>
        <w:t xml:space="preserve"> Kon Pop Detection [FILL: legal name, country], with Mahidol University and [FILL: hospital names], Health Region 10, Thailand</w:t>
      </w:r>
    </w:p>
    <w:p>
      <w:r>
        <w:rPr>
          <w:b/>
        </w:rPr>
        <w:t>Contact:</w:t>
      </w:r>
      <w:r>
        <w:t xml:space="preserve"> Ernest Choi, CEO [FILL: email] · Dr. Narawitchz Wareekul, CMO [FILL: email]</w:t>
      </w:r>
    </w:p>
    <w:p>
      <w:pPr>
        <w:pStyle w:val="Heading3"/>
      </w:pPr>
      <w:r>
        <w:t>The problem</w:t>
      </w:r>
    </w:p>
    <w:p>
      <w:r>
        <w:t>Oral cancer kills about 177,000 people a year, mostly in South and Southeast Asia, where betel quid, tobacco and alcohol are common. It is usually curable when found early, but most patients are diagnosed late, when treatment costs about five times more and survival is poor. In Thailand, community screening relies on village health volunteers with about one day of training and a paper form; dentists are scarce and referrals are slow and unsorted.</w:t>
      </w:r>
    </w:p>
    <w:p>
      <w:pPr>
        <w:pStyle w:val="Heading3"/>
      </w:pPr>
      <w:r>
        <w:t>Our solution</w:t>
      </w:r>
    </w:p>
    <w:p>
      <w:r>
        <w:t>A smartphone app and dentist dashboard. Volunteers record risk factors and take three mouth photos; AI (Google MedGemma fine-tuned + YOLO lesion detection) checks image quality, marks suspicious areas and scores risk; dentists see high-risk patients first. Low-cost, works with patchy connectivity, and backed by picture-based training and a training game.</w:t>
      </w:r>
    </w:p>
    <w:p>
      <w:pPr>
        <w:pStyle w:val="Heading3"/>
      </w:pPr>
      <w:r>
        <w:t>Progress</w:t>
      </w:r>
    </w:p>
    <w:p>
      <w:pPr>
        <w:pStyle w:val="ListBullet"/>
      </w:pPr>
      <w:r>
        <w:t>MIT Grand Hack 2025 [FILL: Google award]; Harvard GAMI incubator; collaborators at MIT and the University of Michigan</w:t>
      </w:r>
    </w:p>
    <w:p>
      <w:pPr>
        <w:pStyle w:val="ListBullet"/>
      </w:pPr>
      <w:r>
        <w:t>Working app, dashboard and model; ethics approval [FILL]; hospital agreements [FILL]</w:t>
      </w:r>
    </w:p>
    <w:p>
      <w:pPr>
        <w:pStyle w:val="ListBullet"/>
      </w:pPr>
      <w:r>
        <w:t>Pilot in Health Region 10: ~300 volunteers [FILL: status and numbers]</w:t>
      </w:r>
    </w:p>
    <w:p>
      <w:pPr>
        <w:pStyle w:val="ListBullet"/>
      </w:pPr>
      <w:r>
        <w:t>Validation to date: [FILL: metrics]</w:t>
      </w:r>
    </w:p>
    <w:p>
      <w:pPr>
        <w:pStyle w:val="Heading3"/>
      </w:pPr>
      <w:r>
        <w:t>Plan (next 18 months)</w:t>
      </w:r>
    </w:p>
    <w:p>
      <w:pPr>
        <w:ind w:left="360" w:hanging="280"/>
      </w:pPr>
      <w:r>
        <w:t>1. Validate accuracy against dentist examination and biopsy at multiple hospitals</w:t>
      </w:r>
    </w:p>
    <w:p>
      <w:pPr>
        <w:ind w:left="360" w:hanging="280"/>
      </w:pPr>
      <w:r>
        <w:t>2. Complete the Health Region 10 pilot; measure referral accuracy, time to diagnosis, usability and costs</w:t>
      </w:r>
    </w:p>
    <w:p>
      <w:pPr>
        <w:ind w:left="360" w:hanging="280"/>
      </w:pPr>
      <w:r>
        <w:t>3. Expand to Health Regions 7 and 9; engage the MOPH and NHSO on adoption</w:t>
      </w:r>
    </w:p>
    <w:p>
      <w:pPr>
        <w:ind w:left="360" w:hanging="280"/>
      </w:pPr>
      <w:r>
        <w:t>4. Thai FDA pathway for Software as a Medical Device</w:t>
      </w:r>
    </w:p>
    <w:p>
      <w:pPr>
        <w:pStyle w:val="Heading3"/>
      </w:pPr>
      <w:r>
        <w:t>Impact</w:t>
      </w:r>
    </w:p>
    <w:p>
      <w:r>
        <w:t>More early-stage diagnoses; fewer unnecessary trips for patients; better use of scarce dentists; a model for AI-assisted primary-care screening that can transfer to other high-burden countries.</w:t>
      </w:r>
    </w:p>
    <w:p>
      <w:pPr>
        <w:pStyle w:val="Heading3"/>
      </w:pPr>
      <w:r>
        <w:t>The ask [edit per funder]</w:t>
      </w:r>
    </w:p>
    <w:p>
      <w:pPr>
        <w:pStyle w:val="ListBullet"/>
      </w:pPr>
      <w:r>
        <w:rPr>
          <w:b/>
        </w:rPr>
        <w:t>Funding:</w:t>
      </w:r>
      <w:r>
        <w:t xml:space="preserve"> US$[FILL] for [FILL: e.g. volunteer training and devices / validation study / regulatory work]</w:t>
      </w:r>
    </w:p>
    <w:p>
      <w:pPr>
        <w:pStyle w:val="ListBullet"/>
      </w:pPr>
      <w:r>
        <w:rPr>
          <w:b/>
        </w:rPr>
        <w:t>Non-financial:</w:t>
      </w:r>
      <w:r>
        <w:t xml:space="preserve"> [FILL: e.g. technical mentorship (Google), methodological collaboration (IARC), club partnership (Rotary), introductions to health ministries]</w:t>
      </w:r>
    </w:p>
    <w:p>
      <w:pPr>
        <w:pStyle w:val="Heading3"/>
      </w:pPr>
      <w:r>
        <w:t>Team</w:t>
      </w:r>
    </w:p>
    <w:p>
      <w:r>
        <w:t>Ernest Choi (CEO; Harvard graduate student; three-time founder) · Dr. Narawitchz Wareekul (CMO; dentist, Mahidol University) · Amir Fleurizard (CTO; M.Sc., UNC Charlotte)</w:t>
      </w:r>
    </w:p>
    <w:p>
      <w:pPr>
        <w:pStyle w:val="Heading3"/>
      </w:pPr>
      <w:r>
        <w:t>Funder-specific notes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r>
              <w:rPr>
                <w:b/>
                <w:sz w:val="19"/>
              </w:rPr>
              <w:t>Funder</w:t>
            </w:r>
          </w:p>
        </w:tc>
        <w:tc>
          <w:tcPr>
            <w:tcW w:type="dxa" w:w="2880"/>
            <w:shd w:val="clear" w:color="auto" w:fill="DCE6F1"/>
          </w:tcPr>
          <w:p>
            <w:r>
              <w:rPr>
                <w:b/>
                <w:sz w:val="19"/>
              </w:rPr>
              <w:t>How to approach</w:t>
            </w:r>
          </w:p>
        </w:tc>
        <w:tc>
          <w:tcPr>
            <w:tcW w:type="dxa" w:w="2880"/>
            <w:shd w:val="clear" w:color="auto" w:fill="DCE6F1"/>
          </w:tcPr>
          <w:p>
            <w:r>
              <w:rPr>
                <w:b/>
                <w:sz w:val="19"/>
              </w:rPr>
              <w:t>Key point to stress</w:t>
            </w:r>
          </w:p>
        </w:tc>
      </w:tr>
      <w:tr>
        <w:tc>
          <w:tcPr>
            <w:tcW w:type="dxa" w:w="2880"/>
          </w:tcPr>
          <w:p>
            <w:r>
              <w:rPr>
                <w:sz w:val="19"/>
              </w:rPr>
              <w:t>Google.org / Google Health</w:t>
            </w:r>
          </w:p>
        </w:tc>
        <w:tc>
          <w:tcPr>
            <w:tcW w:type="dxa" w:w="2880"/>
          </w:tcPr>
          <w:p>
            <w:r>
              <w:rPr>
                <w:sz w:val="19"/>
              </w:rPr>
              <w:t>Through the Grand Hack award contacts and HAI-DEF/MedGemma developer channels</w:t>
            </w:r>
          </w:p>
        </w:tc>
        <w:tc>
          <w:tcPr>
            <w:tcW w:type="dxa" w:w="2880"/>
          </w:tcPr>
          <w:p>
            <w:r>
              <w:rPr>
                <w:sz w:val="19"/>
              </w:rPr>
              <w:t>You are a MedGemma use-case in a low-resource setting</w:t>
            </w:r>
          </w:p>
        </w:tc>
      </w:tr>
      <w:tr>
        <w:tc>
          <w:tcPr>
            <w:tcW w:type="dxa" w:w="2880"/>
          </w:tcPr>
          <w:p>
            <w:r>
              <w:rPr>
                <w:sz w:val="19"/>
              </w:rPr>
              <w:t>Rotary Foundation Global Grant</w:t>
            </w:r>
          </w:p>
        </w:tc>
        <w:tc>
          <w:tcPr>
            <w:tcW w:type="dxa" w:w="2880"/>
          </w:tcPr>
          <w:p>
            <w:r>
              <w:rPr>
                <w:sz w:val="19"/>
              </w:rPr>
              <w:t>A Thai Rotary club in the project area + an international club (e.g. Cambridge, MA) apply together</w:t>
            </w:r>
          </w:p>
        </w:tc>
        <w:tc>
          <w:tcPr>
            <w:tcW w:type="dxa" w:w="2880"/>
          </w:tcPr>
          <w:p>
            <w:r>
              <w:rPr>
                <w:sz w:val="19"/>
              </w:rPr>
              <w:t>Disease prevention &amp; treatment area of focus; community screening equipment and training are fundable</w:t>
            </w:r>
          </w:p>
        </w:tc>
      </w:tr>
      <w:tr>
        <w:tc>
          <w:tcPr>
            <w:tcW w:type="dxa" w:w="2880"/>
          </w:tcPr>
          <w:p>
            <w:r>
              <w:rPr>
                <w:sz w:val="19"/>
              </w:rPr>
              <w:t>Temasek Foundation</w:t>
            </w:r>
          </w:p>
        </w:tc>
        <w:tc>
          <w:tcPr>
            <w:tcW w:type="dxa" w:w="2880"/>
          </w:tcPr>
          <w:p>
            <w:r>
              <w:rPr>
                <w:sz w:val="19"/>
              </w:rPr>
              <w:t>Partner-referred; regional health capacity</w:t>
            </w:r>
          </w:p>
        </w:tc>
        <w:tc>
          <w:tcPr>
            <w:tcW w:type="dxa" w:w="2880"/>
          </w:tcPr>
          <w:p>
            <w:r>
              <w:rPr>
                <w:sz w:val="19"/>
              </w:rPr>
              <w:t>Volunteer training and capacity building</w:t>
            </w:r>
          </w:p>
        </w:tc>
      </w:tr>
      <w:tr>
        <w:tc>
          <w:tcPr>
            <w:tcW w:type="dxa" w:w="2880"/>
          </w:tcPr>
          <w:p>
            <w:r>
              <w:rPr>
                <w:sz w:val="19"/>
              </w:rPr>
              <w:t>IARC</w:t>
            </w:r>
          </w:p>
        </w:tc>
        <w:tc>
          <w:tcPr>
            <w:tcW w:type="dxa" w:w="2880"/>
          </w:tcPr>
          <w:p>
            <w:r>
              <w:rPr>
                <w:sz w:val="19"/>
              </w:rPr>
              <w:t>Email a named scientist in early detection/screening</w:t>
            </w:r>
          </w:p>
        </w:tc>
        <w:tc>
          <w:tcPr>
            <w:tcW w:type="dxa" w:w="2880"/>
          </w:tcPr>
          <w:p>
            <w:r>
              <w:rPr>
                <w:sz w:val="19"/>
              </w:rPr>
              <w:t>Data from a high-burden setting; validation site</w:t>
            </w:r>
          </w:p>
        </w:tc>
      </w:tr>
      <w:tr>
        <w:tc>
          <w:tcPr>
            <w:tcW w:type="dxa" w:w="2880"/>
          </w:tcPr>
          <w:p>
            <w:r>
              <w:rPr>
                <w:sz w:val="19"/>
              </w:rPr>
              <w:t>UICC</w:t>
            </w:r>
          </w:p>
        </w:tc>
        <w:tc>
          <w:tcPr>
            <w:tcW w:type="dxa" w:w="2880"/>
          </w:tcPr>
          <w:p>
            <w:r>
              <w:rPr>
                <w:sz w:val="19"/>
              </w:rPr>
              <w:t>Fellowship for Dr. Wareekul or a team member</w:t>
            </w:r>
          </w:p>
        </w:tc>
        <w:tc>
          <w:tcPr>
            <w:tcW w:type="dxa" w:w="2880"/>
          </w:tcPr>
          <w:p>
            <w:r>
              <w:rPr>
                <w:sz w:val="19"/>
              </w:rPr>
              <w:t>Training visit to an oral-cancer screening centre</w:t>
            </w:r>
          </w:p>
        </w:tc>
      </w:tr>
      <w:tr>
        <w:tc>
          <w:tcPr>
            <w:tcW w:type="dxa" w:w="2880"/>
          </w:tcPr>
          <w:p>
            <w:r>
              <w:rPr>
                <w:sz w:val="19"/>
              </w:rPr>
              <w:t>TCELS / depa / NIA (Thailand)</w:t>
            </w:r>
          </w:p>
        </w:tc>
        <w:tc>
          <w:tcPr>
            <w:tcW w:type="dxa" w:w="2880"/>
          </w:tcPr>
          <w:p>
            <w:r>
              <w:rPr>
                <w:sz w:val="19"/>
              </w:rPr>
              <w:t xml:space="preserve">Usually require a </w:t>
            </w:r>
            <w:r>
              <w:rPr>
                <w:b/>
                <w:sz w:val="19"/>
              </w:rPr>
              <w:t>Thai-registered company</w:t>
            </w:r>
          </w:p>
        </w:tc>
        <w:tc>
          <w:tcPr>
            <w:tcW w:type="dxa" w:w="2880"/>
          </w:tcPr>
          <w:p>
            <w:r>
              <w:rPr>
                <w:sz w:val="19"/>
              </w:rPr>
              <w:t>Consider a Thai subsidiary [CONFIRM]</w:t>
            </w:r>
          </w:p>
        </w:tc>
      </w:tr>
      <w:tr>
        <w:tc>
          <w:tcPr>
            <w:tcW w:type="dxa" w:w="2880"/>
          </w:tcPr>
          <w:p>
            <w:r>
              <w:rPr>
                <w:sz w:val="19"/>
              </w:rPr>
              <w:t>Cancer Grand Challenges</w:t>
            </w:r>
          </w:p>
        </w:tc>
        <w:tc>
          <w:tcPr>
            <w:tcW w:type="dxa" w:w="2880"/>
          </w:tcPr>
          <w:p>
            <w:r>
              <w:rPr>
                <w:sz w:val="19"/>
              </w:rPr>
              <w:t>Only if a challenge on early detection or LMIC screening is set; needs a large multi-institution team</w:t>
            </w:r>
          </w:p>
        </w:tc>
        <w:tc>
          <w:tcPr>
            <w:tcW w:type="dxa" w:w="2880"/>
          </w:tcPr>
          <w:p>
            <w:r>
              <w:rPr>
                <w:sz w:val="19"/>
              </w:rPr>
              <w:t>Long shot; join a team rather than lead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