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Application Templates – AI Early Oral Cancer Detection (Thailand)</w:t>
      </w:r>
    </w:p>
    <w:p>
      <w:r>
        <w:t>Prepared 12 Oct 2026. One template per funder, numbered in the same order as the "most likely to work" ranking.</w:t>
      </w:r>
    </w:p>
    <w:p>
      <w:pPr>
        <w:pStyle w:val="Heading2"/>
      </w:pPr>
      <w:r>
        <w:t>How to use these templates</w:t>
      </w:r>
    </w:p>
    <w:p>
      <w:pPr>
        <w:ind w:left="360" w:hanging="280"/>
      </w:pPr>
      <w:r>
        <w:t xml:space="preserve">1. </w:t>
      </w:r>
      <w:r>
        <w:rPr>
          <w:b/>
        </w:rPr>
        <w:t>Fill in `01_Common_Information_Pack` first.</w:t>
      </w:r>
      <w:r>
        <w:t xml:space="preserve"> About 70% of what every funder asks for is the same: team, hospitals, problem, aims, methods, budget, ethics. Each grant template points back to the section of the Common Pack to copy from ("→ CP §4").</w:t>
      </w:r>
    </w:p>
    <w:p>
      <w:pPr>
        <w:ind w:left="360" w:hanging="280"/>
      </w:pPr>
      <w:r>
        <w:t xml:space="preserve">2. </w:t>
      </w:r>
      <w:r>
        <w:rPr>
          <w:b/>
        </w:rPr>
        <w:t>Then open the template for the grant you are applying to.</w:t>
      </w:r>
      <w:r>
        <w:t xml:space="preserve"> Each one contains:</w:t>
      </w:r>
    </w:p>
    <w:p>
      <w:pPr>
        <w:pStyle w:val="ListBullet2"/>
      </w:pPr>
      <w:r>
        <w:rPr>
          <w:b/>
        </w:rPr>
        <w:t>Eligibility check</w:t>
      </w:r>
      <w:r>
        <w:t xml:space="preserve"> – confirm you can apply before doing any work</w:t>
      </w:r>
    </w:p>
    <w:p>
      <w:pPr>
        <w:pStyle w:val="ListBullet2"/>
      </w:pPr>
      <w:r>
        <w:rPr>
          <w:b/>
        </w:rPr>
        <w:t>Registrations &amp; approvals</w:t>
      </w:r>
      <w:r>
        <w:t xml:space="preserve"> – things that take weeks, so start them first</w:t>
      </w:r>
    </w:p>
    <w:p>
      <w:pPr>
        <w:pStyle w:val="ListBullet2"/>
      </w:pPr>
      <w:r>
        <w:rPr>
          <w:b/>
        </w:rPr>
        <w:t>Document checklist</w:t>
      </w:r>
      <w:r>
        <w:t xml:space="preserve"> – every file to submit, with page limits</w:t>
      </w:r>
    </w:p>
    <w:p>
      <w:pPr>
        <w:pStyle w:val="ListBullet2"/>
      </w:pPr>
      <w:r>
        <w:rPr>
          <w:b/>
        </w:rPr>
        <w:t>Section-by-section fill-in template</w:t>
      </w:r>
      <w:r>
        <w:t xml:space="preserve"> – what each section must say</w:t>
      </w:r>
    </w:p>
    <w:p>
      <w:pPr>
        <w:pStyle w:val="ListBullet2"/>
      </w:pPr>
      <w:r>
        <w:rPr>
          <w:b/>
        </w:rPr>
        <w:t>Budget template</w:t>
      </w:r>
      <w:r>
        <w:t xml:space="preserve"> – the categories that funder uses</w:t>
      </w:r>
    </w:p>
    <w:p>
      <w:pPr>
        <w:pStyle w:val="ListBullet2"/>
      </w:pPr>
      <w:r>
        <w:rPr>
          <w:b/>
        </w:rPr>
        <w:t>Scoring tips</w:t>
      </w:r>
    </w:p>
    <w:p>
      <w:pPr>
        <w:pStyle w:val="ListBullet2"/>
      </w:pPr>
      <w:r>
        <w:rPr>
          <w:b/>
        </w:rPr>
        <w:t>Verify before submitting</w:t>
      </w:r>
      <w:r>
        <w:t xml:space="preserve"> – items that change from call to call</w:t>
      </w:r>
    </w:p>
    <w:p>
      <w:pPr>
        <w:ind w:left="360" w:hanging="280"/>
      </w:pPr>
      <w:r>
        <w:t xml:space="preserve">3. </w:t>
      </w:r>
      <w:r>
        <w:rPr>
          <w:b/>
        </w:rPr>
        <w:t>Always download the official call document (the NOFO, ประกาศ, or call for proposals) for the cycle you apply to.</w:t>
      </w:r>
      <w:r>
        <w:t xml:space="preserve"> Page limits, deadlines and forms change every year. Anything marked </w:t>
      </w:r>
      <w:r>
        <w:rPr>
          <w:b/>
        </w:rPr>
        <w:t>[CONFIRM]</w:t>
      </w:r>
      <w:r>
        <w:t xml:space="preserve"> is something you must check in the official call.</w:t>
      </w:r>
    </w:p>
    <w:p>
      <w:pPr>
        <w:pStyle w:val="Heading2"/>
      </w:pPr>
      <w:r>
        <w:t>Start these NOW (they take the longest)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Task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Needed for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Typical time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Register every investigator in </w:t>
            </w:r>
            <w:r>
              <w:rPr>
                <w:b/>
                <w:sz w:val="19"/>
              </w:rPr>
              <w:t>NRIIS</w:t>
            </w:r>
            <w:r>
              <w:rPr>
                <w:sz w:val="19"/>
              </w:rPr>
              <w:t xml:space="preserve"> (nriis.go.th)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Thai funders (#1–4, #14 Thai side)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1–2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Ethics committee (IRB/EC) approval at </w:t>
            </w:r>
            <w:r>
              <w:rPr>
                <w:b/>
                <w:sz w:val="19"/>
              </w:rPr>
              <w:t>each of the 4 hospitals</w:t>
            </w:r>
            <w:r>
              <w:rPr>
                <w:sz w:val="19"/>
              </w:rPr>
              <w:t>, or one central approval accepted by all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funders that involve patients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1–3 months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Data-sharing agreement</w:t>
            </w:r>
            <w:r>
              <w:rPr>
                <w:sz w:val="19"/>
              </w:rPr>
              <w:t xml:space="preserve"> between the 4 hospitals (Thai PDPA compliant)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funders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1–3 months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Institution registers for a </w:t>
            </w:r>
            <w:r>
              <w:rPr>
                <w:b/>
                <w:sz w:val="19"/>
              </w:rPr>
              <w:t>UEI in SAM.gov</w:t>
            </w:r>
            <w:r>
              <w:rPr>
                <w:sz w:val="19"/>
              </w:rPr>
              <w:t xml:space="preserve"> (foreign entities also need an </w:t>
            </w:r>
            <w:r>
              <w:rPr>
                <w:b/>
                <w:sz w:val="19"/>
              </w:rPr>
              <w:t>NCAGE code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NIH grants (#9–13, #17–18)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4–8 weeks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Grants.gov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>eRA Commons</w:t>
            </w:r>
            <w:r>
              <w:rPr>
                <w:sz w:val="19"/>
              </w:rPr>
              <w:t xml:space="preserve"> institutional accounts plus a PI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NIH grants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2–4 weeks after SAM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ORCID iD</w:t>
            </w:r>
            <w:r>
              <w:rPr>
                <w:sz w:val="19"/>
              </w:rPr>
              <w:t xml:space="preserve"> for every key person, linked to eRA Commons and </w:t>
            </w:r>
            <w:r>
              <w:rPr>
                <w:b/>
                <w:sz w:val="19"/>
              </w:rPr>
              <w:t>SciENcv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All NIH grants (Common Forms biosketch)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day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Federalwide Assurance (FWA)</w:t>
            </w:r>
            <w:r>
              <w:rPr>
                <w:sz w:val="19"/>
              </w:rPr>
              <w:t xml:space="preserve"> for each hospital's ethics committee (OHRP)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NIH, before award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2–6 weeks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Start collecting a </w:t>
            </w:r>
            <w:r>
              <w:rPr>
                <w:b/>
                <w:sz w:val="19"/>
              </w:rPr>
              <w:t>pilot image dataset</w:t>
            </w:r>
            <w:r>
              <w:rPr>
                <w:sz w:val="19"/>
              </w:rPr>
              <w:t xml:space="preserve"> and baseline AI accuracy results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Makes every application much stronger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ongoing</w:t>
            </w:r>
          </w:p>
        </w:tc>
      </w:tr>
    </w:tbl>
    <w:p/>
    <w:p>
      <w:pPr>
        <w:pStyle w:val="Heading2"/>
      </w:pPr>
      <w:r>
        <w:t>File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File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Funder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START_HERE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This guide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Common_Information_Pack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Fill this first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NRCT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National Research Council of Thailand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HSRI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Health Systems Research Institute (สวรส.)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PMU-C_PMU-B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Program Management Units (บพข. / บพค.)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TSRI_Fundamental_Fund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TSRI Fundamental Fund (via institution)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Compute_Credits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NVIDIA / AWS / Microsoft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ThaiHealth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Thai Health Promotion Foundation (สสส.)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UICC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UICC fellowships &amp; grants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NCI_Thailand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National Cancer Institute Thailand / DMS (partnership)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NIH_PA-25-253_R21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 Exploratory Grants in Cancer Control 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NIH_IMAT_R61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 Early-Stage Technology Development (RFA-CA-27-001 / 28-001)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NIH_IMAT_R33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 Advanced Technology Validation (RFA-CA-27-002 / 28-002)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NIH_ITCR_U01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 Informatics Technologies (RFA-CA-27-019)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NIH_Secondary_Data_R21_R01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 Secondary Analysis of Existing Data (PAR-25-096 / 095)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e-ASIA_JRP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e-ASIA Joint Research Program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IARC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IARC collaboration / fellowships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Wellcome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Wellcome Trust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NIH_PAR-25-167_R01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 Cancer Prevention &amp; Control Clinical Trials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NIH_PAR-25-081_R01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NIH Early-Phase Clinical Trials (Diagnosis)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Gates_Google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Gates Grand Challenges / Google.org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AMED_KHIDI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Japan AMED / Korea KHIDI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Pfizer_Industry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Pfizer Global Medical Grants / industry</w:t>
            </w:r>
          </w:p>
        </w:tc>
      </w:tr>
    </w:tbl>
    <w:p/>
    <w:p>
      <w:pPr>
        <w:pStyle w:val="Heading2"/>
      </w:pPr>
      <w:r>
        <w:t>Important rule changes (2025–2026) that affect you</w:t>
      </w:r>
    </w:p>
    <w:p>
      <w:pPr>
        <w:pStyle w:val="ListBullet"/>
      </w:pPr>
      <w:r>
        <w:rPr>
          <w:b/>
        </w:rPr>
        <w:t>NIH foreign partners:</w:t>
      </w:r>
      <w:r>
        <w:t xml:space="preserve"> NIH no longer funds foreign partners through ordinary subawards. For due dates on or after </w:t>
      </w:r>
      <w:r>
        <w:rPr>
          <w:b/>
        </w:rPr>
        <w:t>25 Jan 2026</w:t>
      </w:r>
      <w:r>
        <w:t>, applications that request money for foreign components must use NIH's new linked-award structure (</w:t>
      </w:r>
      <w:r>
        <w:rPr>
          <w:b/>
        </w:rPr>
        <w:t>PF5/UF5</w:t>
      </w:r>
      <w:r>
        <w:t xml:space="preserve"> activity codes, each foreign institution as its own "International Project Component"). If a US university leads and your Thai hospitals are partners, this applies to you. If a Thai hospital is the applicant itself, </w:t>
      </w:r>
      <w:r>
        <w:rPr>
          <w:b/>
        </w:rPr>
        <w:t>ask the NIH program officer</w:t>
      </w:r>
      <w:r>
        <w:t xml:space="preserve"> how the other three Thai hospitals should be included. (NOT-OD-25-104, NOT-OD-25-155)</w:t>
      </w:r>
    </w:p>
    <w:p>
      <w:pPr>
        <w:pStyle w:val="ListBullet"/>
      </w:pPr>
      <w:r>
        <w:rPr>
          <w:b/>
        </w:rPr>
        <w:t>NIH Common Forms:</w:t>
      </w:r>
      <w:r>
        <w:t xml:space="preserve"> Since </w:t>
      </w:r>
      <w:r>
        <w:rPr>
          <w:b/>
        </w:rPr>
        <w:t>25 Jan 2026</w:t>
      </w:r>
      <w:r>
        <w:t xml:space="preserve">, biosketches and Current &amp; Pending (Other) Support must be made in </w:t>
      </w:r>
      <w:r>
        <w:rPr>
          <w:b/>
        </w:rPr>
        <w:t>SciENcv</w:t>
      </w:r>
      <w:r>
        <w:t>, and every key person must link their ORCID and eRA Commons accounts. (NOT-OD-26-018)</w:t>
      </w:r>
    </w:p>
    <w:p>
      <w:pPr>
        <w:pStyle w:val="ListBullet"/>
      </w:pPr>
      <w:r>
        <w:rPr>
          <w:b/>
        </w:rPr>
        <w:t>NIH and AI-written applications:</w:t>
      </w:r>
      <w:r>
        <w:t xml:space="preserve"> NIH does not treat applications "substantially developed by AI" as original, and limits each PI to </w:t>
      </w:r>
      <w:r>
        <w:rPr>
          <w:b/>
        </w:rPr>
        <w:t>6 applications per calendar year</w:t>
      </w:r>
      <w:r>
        <w:t>. Write the science yourselves. (NOT-OD-25-132)</w:t>
      </w:r>
    </w:p>
    <w:p>
      <w:pPr>
        <w:pStyle w:val="ListBullet"/>
      </w:pPr>
      <w:r>
        <w:rPr>
          <w:b/>
        </w:rPr>
        <w:t>NVIDIA Academic Grant Program:</w:t>
      </w:r>
      <w:r>
        <w:t xml:space="preserve"> not accepting applications as of Oct 2026. Watch for the next call.</w:t>
      </w:r>
    </w:p>
    <w:p>
      <w:pPr>
        <w:pStyle w:val="ListBullet"/>
      </w:pPr>
      <w:r>
        <w:rPr>
          <w:b/>
        </w:rPr>
        <w:t>Thai funders:</w:t>
      </w:r>
      <w:r>
        <w:t xml:space="preserve"> almost all submissions go through </w:t>
      </w:r>
      <w:r>
        <w:rPr>
          <w:b/>
        </w:rPr>
        <w:t>NRIIS, in Thai</w:t>
      </w:r>
      <w:r>
        <w:t xml:space="preserve">, and are certified by your institution's research office before the funder's deadline. The institution's internal deadline is usually </w:t>
      </w:r>
      <w:r>
        <w:rPr>
          <w:b/>
        </w:rPr>
        <w:t>1–2 weeks earlier</w:t>
      </w:r>
      <w:r>
        <w:t xml:space="preserve"> than the funder's.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