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#4 TSRI Fundamental Fund (FF / กองทุนส่งเสริม ววน. – ทุนสนับสนุนงานมูลฐาน) – Application Template</w:t>
      </w:r>
    </w:p>
    <w:p>
      <w:r>
        <w:rPr>
          <w:b/>
        </w:rPr>
        <w:t>Why it fits:</w:t>
      </w:r>
      <w:r>
        <w:t xml:space="preserve"> National research money that TSRI allocates to </w:t>
      </w:r>
      <w:r>
        <w:rPr>
          <w:b/>
        </w:rPr>
        <w:t>institutions</w:t>
      </w:r>
      <w:r>
        <w:t>, which then fund their own researchers. You compete only within your hospital or university, so the odds are better, but grants are smaller and usually run one year at a time.</w:t>
      </w:r>
    </w:p>
    <w:p>
      <w:r>
        <w:rPr>
          <w:b/>
        </w:rPr>
        <w:t>Website:</w:t>
      </w:r>
      <w:r>
        <w:t xml:space="preserve"> https://www.tsri.or.th</w:t>
      </w:r>
    </w:p>
    <w:p>
      <w:r>
        <w:rPr>
          <w:b/>
        </w:rPr>
        <w:t>Submission:</w:t>
      </w:r>
      <w:r>
        <w:t xml:space="preserve"> through your </w:t>
      </w:r>
      <w:r>
        <w:rPr>
          <w:b/>
        </w:rPr>
        <w:t>institution's research office</w:t>
      </w:r>
      <w:r>
        <w:t>, then NRIIS (Thai)</w:t>
      </w:r>
    </w:p>
    <w:p>
      <w:r>
        <w:rPr>
          <w:b/>
        </w:rPr>
        <w:t>Typical cycle:</w:t>
      </w:r>
      <w:r>
        <w:t xml:space="preserve"> the institution announces an internal call for next-fiscal-year FF proposals, often </w:t>
      </w:r>
      <w:r>
        <w:rPr>
          <w:b/>
        </w:rPr>
        <w:t>Oct–Jan</w:t>
      </w:r>
      <w:r>
        <w:t xml:space="preserve"> </w:t>
      </w:r>
      <w:r>
        <w:rPr>
          <w:b/>
        </w:rPr>
        <w:t>[CONFIRM with your research office now. The FY2571 internal call may open soon.]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Your hospital or affiliated university/medical school </w:t>
      </w:r>
      <w:r>
        <w:rPr>
          <w:b/>
        </w:rPr>
        <w:t>receives an FF allocation</w:t>
      </w:r>
      <w:r>
        <w:t>. Ask the research office. University hospitals and military medical colleges often do; some MOPH hospitals do not.</w:t>
      </w:r>
    </w:p>
    <w:p>
      <w:pPr>
        <w:pStyle w:val="ListBullet"/>
      </w:pPr>
      <w:r>
        <w:t xml:space="preserve">☐ The project fits the </w:t>
      </w:r>
      <w:r>
        <w:rPr>
          <w:b/>
        </w:rPr>
        <w:t>institution's strategic research plan</w:t>
      </w:r>
      <w:r>
        <w:t xml:space="preserve"> (FF projects must align with it)</w:t>
      </w:r>
    </w:p>
    <w:p>
      <w:pPr>
        <w:pStyle w:val="ListBullet"/>
      </w:pPr>
      <w:r>
        <w:t>☐ PI is a staff member of that institution</w:t>
      </w:r>
    </w:p>
    <w:p>
      <w:pPr>
        <w:pStyle w:val="ListBullet"/>
      </w:pPr>
      <w:r>
        <w:t xml:space="preserve">☐ Within the internal limit on number of projects or budget per PI </w:t>
      </w:r>
      <w:r>
        <w:rPr>
          <w:b/>
        </w:rPr>
        <w:t>[CONFIRM]</w:t>
      </w:r>
    </w:p>
    <w:p>
      <w:pPr>
        <w:pStyle w:val="Heading2"/>
      </w:pPr>
      <w:r>
        <w:t>B. Before submitting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Meet the research office: get the internal call, form, ceiling and deadline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Identify which of the institution's research themes the project fits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NRIIS registration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Agree with partner hospitals on their role (FF funds the lead institution; partners may be collaborators without budget)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Document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Fill 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Internal FF proposal 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§1–11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NRIIS entry (after internal approval)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Annual budget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§9 (Year 1 only, or multi-year if allowed)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Alignment statement with institutional strategy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D. Fill-in template</w:t>
      </w:r>
    </w:p>
    <w:p>
      <w:r>
        <w:t>Same NRIIS headings as the NRCT template (title, rationale, objectives, methods, plan, budget, outputs/outcomes/impact, TRL/SRL), plus:</w:t>
      </w:r>
    </w:p>
    <w:p>
      <w:r>
        <w:rPr>
          <w:b/>
        </w:rPr>
        <w:t>Alignment with institutional strategy (ความสอดคล้องกับยุทธศาสตร์หน่วยงาน):</w:t>
      </w:r>
    </w:p>
    <w:p>
      <w:r>
        <w:t>"This project supports [institution]'s strategic goal ____ by ____."</w:t>
      </w:r>
    </w:p>
    <w:p>
      <w:r>
        <w:rPr>
          <w:b/>
        </w:rPr>
        <w:t>Year-1 scope:</w:t>
      </w:r>
      <w:r>
        <w:t xml:space="preserve"> FF is usually funded year by year, so define a </w:t>
      </w:r>
      <w:r>
        <w:rPr>
          <w:b/>
        </w:rPr>
        <w:t>self-contained first-year deliverable</w:t>
      </w:r>
      <w:r>
        <w:t>, e.g. "Annotated dataset of ____ images from 4 hospitals + baseline model with ≥ __% sensitivity". This is ideal seed funding for pilot data that strengthens the NIH and Wellcome applications.</w:t>
      </w:r>
    </w:p>
    <w:p>
      <w:pPr>
        <w:pStyle w:val="Heading2"/>
      </w:pPr>
      <w:r>
        <w:t>E. Budget template</w:t>
      </w:r>
    </w:p>
    <w:p>
      <w:r>
        <w:t xml:space="preserve">Thai government categories (see the NRCT template). Keep Year 1 within the internal ceiling </w:t>
      </w:r>
      <w:r>
        <w:rPr>
          <w:b/>
        </w:rPr>
        <w:t>[CONFIRM]</w:t>
      </w:r>
      <w:r>
        <w:t>.</w:t>
      </w:r>
    </w:p>
    <w:p>
      <w:pPr>
        <w:pStyle w:val="Heading2"/>
      </w:pPr>
      <w:r>
        <w:t>F. Scoring tips</w:t>
      </w:r>
    </w:p>
    <w:p>
      <w:pPr>
        <w:pStyle w:val="ListBullet"/>
      </w:pPr>
      <w:r>
        <w:t xml:space="preserve">Present it as </w:t>
      </w:r>
      <w:r>
        <w:rPr>
          <w:b/>
        </w:rPr>
        <w:t>seed funding that leverages larger grants</w:t>
      </w:r>
      <w:r>
        <w:t>: list the NIH, NRCT and HSRI applications it enables.</w:t>
      </w:r>
    </w:p>
    <w:p>
      <w:pPr>
        <w:pStyle w:val="ListBullet"/>
      </w:pPr>
      <w:r>
        <w:t>Match the institution's strategic wording exactly.</w:t>
      </w:r>
    </w:p>
    <w:p>
      <w:pPr>
        <w:pStyle w:val="ListBullet"/>
      </w:pPr>
      <w:r>
        <w:t xml:space="preserve">Promise </w:t>
      </w:r>
      <w:r>
        <w:rPr>
          <w:b/>
        </w:rPr>
        <w:t>concrete outputs in 12 months</w:t>
      </w:r>
      <w:r>
        <w:t>: dataset, publication, prototype.</w:t>
      </w:r>
    </w:p>
    <w:p>
      <w:pPr>
        <w:pStyle w:val="Heading2"/>
      </w:pPr>
      <w:r>
        <w:t>G. Verify [CONFIRM]</w:t>
      </w:r>
    </w:p>
    <w:p>
      <w:pPr>
        <w:pStyle w:val="ListBullet"/>
      </w:pPr>
      <w:r>
        <w:t>☐ Whether your institution receives FF</w:t>
      </w:r>
    </w:p>
    <w:p>
      <w:pPr>
        <w:pStyle w:val="ListBullet"/>
      </w:pPr>
      <w:r>
        <w:t>☐ Internal deadline and form</w:t>
      </w:r>
    </w:p>
    <w:p>
      <w:pPr>
        <w:pStyle w:val="ListBullet"/>
      </w:pPr>
      <w:r>
        <w:t>☐ Ceiling and multi-year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