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#9 NIH PA-25-253 – Exploratory Grants in Cancer Control (R21, Clinical Trial Optional) – Application Template</w:t>
      </w:r>
    </w:p>
    <w:p>
      <w:r>
        <w:rPr>
          <w:b/>
        </w:rPr>
        <w:t>This file also contains the NIH core application package</w:t>
      </w:r>
      <w:r>
        <w:t xml:space="preserve"> (Part 2), used by every NIH template (11–14, 18–19).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Key 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Funder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 National Cancer Institute (NCI), Division of Cancer Control &amp; Population Sciences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≤ $275,000 direct costs over 2 years; ≤ $200,000 in any one year.</w:t>
            </w:r>
            <w:r>
              <w:rPr>
                <w:sz w:val="19"/>
              </w:rPr>
              <w:t xml:space="preserve"> Foreign institutions add </w:t>
            </w:r>
            <w:r>
              <w:rPr>
                <w:b/>
                <w:sz w:val="19"/>
              </w:rPr>
              <w:t>max 8% indirect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Max 2 years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Due dates (new applications)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Standard NIH R21 dates: </w:t>
            </w:r>
            <w:r>
              <w:rPr>
                <w:b/>
                <w:sz w:val="19"/>
              </w:rPr>
              <w:t>16 Feb, 16 Jun, 16 Oct</w:t>
            </w:r>
            <w:r>
              <w:rPr>
                <w:sz w:val="19"/>
              </w:rPr>
              <w:t xml:space="preserve">, 5:00 PM applicant local time. Next realistic: </w:t>
            </w:r>
            <w:r>
              <w:rPr>
                <w:b/>
                <w:sz w:val="19"/>
              </w:rPr>
              <w:t>16 Feb 2027</w:t>
            </w:r>
            <w:r>
              <w:rPr>
                <w:sz w:val="19"/>
              </w:rPr>
              <w:t xml:space="preserve"> (16 Oct 2026 is too soon). Opportunity expires </w:t>
            </w:r>
            <w:r>
              <w:rPr>
                <w:b/>
                <w:sz w:val="19"/>
              </w:rPr>
              <w:t>8 Sep 2028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Foreign eligibility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Non-US organisations may apply directly (NCAGE + SAM registration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Preliminary data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Not required</w:t>
            </w:r>
            <w:r>
              <w:rPr>
                <w:sz w:val="19"/>
              </w:rPr>
              <w:t xml:space="preserve"> (extensive preliminary data discouraged)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Clinical trial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Official text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https://grants.nih.gov/grants/guide/pa-files/PA-25-253.html</w:t>
            </w:r>
          </w:p>
        </w:tc>
      </w:tr>
    </w:tbl>
    <w:p/>
    <w:p>
      <w:pPr>
        <w:pStyle w:val="Heading2"/>
      </w:pPr>
      <w:r>
        <w:t>⚠️ Critical scope rule – read first</w:t>
      </w:r>
    </w:p>
    <w:p>
      <w:r>
        <w:t xml:space="preserve">PA-25-253 lists </w:t>
      </w:r>
      <w:r>
        <w:rPr>
          <w:b/>
        </w:rPr>
        <w:t>"developing innovative diagnostic technologies and devices" as NON-RESPONSIVE</w:t>
      </w:r>
      <w:r>
        <w:t xml:space="preserve">: applications built around developing new diagnostic technology are returned without review. </w:t>
      </w:r>
      <w:r>
        <w:rPr>
          <w:b/>
        </w:rPr>
        <w:t>Do not present this as "we will build an AI model".</w:t>
      </w:r>
      <w:r>
        <w:t xml:space="preserve"> Present it as </w:t>
      </w:r>
      <w:r>
        <w:rPr>
          <w:b/>
        </w:rPr>
        <w:t>cancer-control / health-care delivery research</w:t>
      </w:r>
      <w:r>
        <w:t xml:space="preserve">: *using* AI-assisted, smartphone-based screening to improve how early oral cancer is found and referred. In-scope examples NCI gives include using </w:t>
      </w:r>
      <w:r>
        <w:rPr>
          <w:b/>
        </w:rPr>
        <w:t>information technology to improve evidence-based screening</w:t>
      </w:r>
      <w:r>
        <w:t>, mobile apps, telemedicine, and AI in cancer epidemiology.</w:t>
      </w:r>
    </w:p>
    <w:p>
      <w:r>
        <w:t>Good framing examples:</w:t>
      </w:r>
    </w:p>
    <w:p>
      <w:pPr>
        <w:pStyle w:val="ListBullet"/>
      </w:pPr>
      <w:r>
        <w:t>"Feasibility, acceptability and accuracy of AI-assisted oral cancer screening delivered by primary-care staff in a 4-hospital Thai network"</w:t>
      </w:r>
    </w:p>
    <w:p>
      <w:pPr>
        <w:pStyle w:val="ListBullet"/>
      </w:pPr>
      <w:r>
        <w:t>"Reducing time-to-diagnosis for oral cancer through mobile-photo triage and tele-referral"</w:t>
      </w:r>
    </w:p>
    <w:p>
      <w:r>
        <w:t xml:space="preserve">Use an </w:t>
      </w:r>
      <w:r>
        <w:rPr>
          <w:b/>
        </w:rPr>
        <w:t>existing or lightly adapted</w:t>
      </w:r>
      <w:r>
        <w:t xml:space="preserve"> AI model. Fund model building through NRCT, PMU or TSRI, not here.</w:t>
      </w:r>
    </w:p>
    <w:p>
      <w:pPr>
        <w:pStyle w:val="Heading2"/>
      </w:pPr>
      <w:r>
        <w:t>⚠️ Partner-hospital structure (NIH policy since 2025)</w:t>
      </w:r>
    </w:p>
    <w:p>
      <w:r>
        <w:t xml:space="preserve">NIH no longer allows </w:t>
      </w:r>
      <w:r>
        <w:rPr>
          <w:b/>
        </w:rPr>
        <w:t>foreign subawards</w:t>
      </w:r>
      <w:r>
        <w:t xml:space="preserve"> in new applications. If a Thai hospital is the applicant, </w:t>
      </w:r>
      <w:r>
        <w:rPr>
          <w:b/>
        </w:rPr>
        <w:t>paying the other 3 Thai hospitals through subawards is likely not allowed</w:t>
      </w:r>
      <w:r>
        <w:t>. Options:</w:t>
      </w:r>
    </w:p>
    <w:p>
      <w:pPr>
        <w:ind w:left="360" w:hanging="280"/>
      </w:pPr>
      <w:r>
        <w:t xml:space="preserve">1. </w:t>
      </w:r>
      <w:r>
        <w:rPr>
          <w:b/>
        </w:rPr>
        <w:t>Lead hospital holds all funds.</w:t>
      </w:r>
      <w:r>
        <w:t xml:space="preserve"> Partner hospitals are </w:t>
      </w:r>
      <w:r>
        <w:rPr>
          <w:b/>
        </w:rPr>
        <w:t>unfunded collaborators</w:t>
      </w:r>
      <w:r>
        <w:t xml:space="preserve"> (letters of collaboration). Study staff at partner sites are paid as </w:t>
      </w:r>
      <w:r>
        <w:rPr>
          <w:b/>
        </w:rPr>
        <w:t>consultants</w:t>
      </w:r>
      <w:r>
        <w:t xml:space="preserve"> or through the lead's own payroll if feasible.</w:t>
      </w:r>
    </w:p>
    <w:p>
      <w:pPr>
        <w:ind w:left="360" w:hanging="280"/>
      </w:pPr>
      <w:r>
        <w:t xml:space="preserve">2. A </w:t>
      </w:r>
      <w:r>
        <w:rPr>
          <w:b/>
        </w:rPr>
        <w:t>US university applies</w:t>
      </w:r>
      <w:r>
        <w:t xml:space="preserve"> as prime using NIH's </w:t>
      </w:r>
      <w:r>
        <w:rPr>
          <w:b/>
        </w:rPr>
        <w:t>PF5 international-collaboration structure</w:t>
      </w:r>
      <w:r>
        <w:t xml:space="preserve"> (each Thai hospital is an International Project Component). Check whether PA-25-253 accepts this, or a companion PF5 opportunity is required.</w:t>
      </w:r>
    </w:p>
    <w:p>
      <w:pPr>
        <w:ind w:left="360" w:hanging="280"/>
      </w:pPr>
      <w:r>
        <w:t xml:space="preserve">3. </w:t>
      </w:r>
      <w:r>
        <w:rPr>
          <w:b/>
        </w:rPr>
        <w:t>Email the NCI programme officer</w:t>
      </w:r>
      <w:r>
        <w:t xml:space="preserve"> listed in the NOFO and ask which structure they accept. </w:t>
      </w:r>
      <w:r>
        <w:rPr>
          <w:b/>
        </w:rPr>
        <w:t>Do this before writing.</w:t>
      </w:r>
    </w:p>
    <w:p>
      <w:pPr>
        <w:pStyle w:val="Heading1"/>
      </w:pPr>
      <w:r>
        <w:t>PART 1 – Fill-in template for PA-25-253</w:t>
      </w:r>
    </w:p>
    <w:p>
      <w:pPr>
        <w:pStyle w:val="Heading2"/>
      </w:pPr>
      <w:r>
        <w:t>Specific Aims (1 page)</w:t>
      </w:r>
    </w:p>
    <w:p>
      <w:pPr>
        <w:ind w:left="360"/>
      </w:pPr>
      <w:r>
        <w:rPr>
          <w:b/>
          <w:i/>
          <w:color w:val="334466"/>
        </w:rPr>
        <w:t>Opening paragraph:</w:t>
      </w:r>
      <w:r>
        <w:rPr>
          <w:i/>
          <w:color w:val="334466"/>
        </w:rPr>
        <w:t xml:space="preserve"> Oral cancer burden in Thailand (CP §4); ____% diagnosed late; the gap is a shortage of trained screeners and slow referral in ____ provinces.</w:t>
      </w:r>
    </w:p>
    <w:p>
      <w:pPr>
        <w:ind w:left="360"/>
      </w:pPr>
      <w:r>
        <w:rPr>
          <w:b/>
          <w:i/>
          <w:color w:val="334466"/>
        </w:rPr>
        <w:t>Long-term goal:</w:t>
      </w:r>
      <w:r>
        <w:rPr>
          <w:i/>
          <w:color w:val="334466"/>
        </w:rPr>
        <w:t xml:space="preserve"> a scalable, AI-assisted early detection pathway integrated into Thai primary care.</w:t>
      </w:r>
    </w:p>
    <w:p>
      <w:pPr>
        <w:ind w:left="360"/>
      </w:pPr>
      <w:r>
        <w:rPr>
          <w:b/>
          <w:i/>
          <w:color w:val="334466"/>
        </w:rPr>
        <w:t>Objective of this R21:</w:t>
      </w:r>
      <w:r>
        <w:rPr>
          <w:i/>
          <w:color w:val="334466"/>
        </w:rPr>
        <w:t xml:space="preserve"> to test the feasibility, acceptability and real-world accuracy of AI-assisted photo screening delivered by ____ at 4 hospitals and their catchment primary-care units.</w:t>
      </w:r>
    </w:p>
    <w:p>
      <w:pPr>
        <w:ind w:left="360"/>
      </w:pPr>
      <w:r>
        <w:rPr>
          <w:b/>
          <w:i/>
          <w:color w:val="334466"/>
        </w:rPr>
        <w:t>Aim 1 (feasibility &amp; acceptability):</w:t>
      </w:r>
      <w:r>
        <w:rPr>
          <w:i/>
          <w:color w:val="334466"/>
        </w:rPr>
        <w:t xml:space="preserve"> ____, measured by recruitment rate, completion, usability score (SUS), and screener/patient acceptability.</w:t>
      </w:r>
    </w:p>
    <w:p>
      <w:pPr>
        <w:ind w:left="360"/>
      </w:pPr>
      <w:r>
        <w:rPr>
          <w:b/>
          <w:i/>
          <w:color w:val="334466"/>
        </w:rPr>
        <w:t>Aim 2 (accuracy in practice):</w:t>
      </w:r>
      <w:r>
        <w:rPr>
          <w:i/>
          <w:color w:val="334466"/>
        </w:rPr>
        <w:t xml:space="preserve"> sensitivity/specificity of AI-assisted screening vs specialist exam ± biopsy in ____ participants.</w:t>
      </w:r>
    </w:p>
    <w:p>
      <w:pPr>
        <w:ind w:left="360"/>
      </w:pPr>
      <w:r>
        <w:rPr>
          <w:b/>
          <w:i/>
          <w:color w:val="334466"/>
        </w:rPr>
        <w:t>Aim 3 (care pathway):</w:t>
      </w:r>
      <w:r>
        <w:rPr>
          <w:i/>
          <w:color w:val="334466"/>
        </w:rPr>
        <w:t xml:space="preserve"> time from screen to specialist visit and biopsy; referral completion; cost per screen.</w:t>
      </w:r>
    </w:p>
    <w:p>
      <w:pPr>
        <w:ind w:left="360"/>
      </w:pPr>
      <w:r>
        <w:rPr>
          <w:b/>
          <w:i/>
          <w:color w:val="334466"/>
        </w:rPr>
        <w:t>Expected outcome:</w:t>
      </w:r>
      <w:r>
        <w:rPr>
          <w:i/>
          <w:color w:val="334466"/>
        </w:rPr>
        <w:t xml:space="preserve"> effect sizes and procedures for a larger R01 trial (→ template 18).</w:t>
      </w:r>
    </w:p>
    <w:p>
      <w:pPr>
        <w:pStyle w:val="Heading2"/>
      </w:pPr>
      <w:r>
        <w:t>Research Strategy (6 pages): Significance, Innovation, Approach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What to write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From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Significance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Burden; late diagnosis; why existing screening fails in Thailand; relevance to cancer control and disparities (rural, low-income, high-risk)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Innovation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New *delivery model* (non-specialist + AI + tele-referral) in an LMIC setting, not a new device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Design, setting (4 hospitals), participants, sample size/power, screening procedure, reference standard, outcomes, analysis, timeline, pitfalls &amp; alternatives, rigor (blinding of reference-standard assessors, pre-specified analysis)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§6, §8</w:t>
            </w:r>
          </w:p>
        </w:tc>
      </w:tr>
    </w:tbl>
    <w:p/>
    <w:p>
      <w:pPr>
        <w:pStyle w:val="Heading2"/>
      </w:pPr>
      <w:r>
        <w:t>Budget (detailed R&amp;R budget; foreign applicants **cannot** use the modular budget)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Y1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Y2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Senior/key personnel (salary × % effort)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Use actual institutional salaries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Other personnel (coordinator, research nurses/dental assistants)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9"/>
              </w:rPr>
              <w:t>Equipment (≥ $5,000 per item)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Usually minimal for R21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Travel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Inter-site travel; one US meeting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Participant costs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Travel reimbursement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Other direct costs (biopsy/histopathology, cloud, app licence, publication)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Consultants (partner-site staff, if structure option 1)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Total direct</w:t>
            </w:r>
            <w:r>
              <w:rPr>
                <w:sz w:val="19"/>
              </w:rPr>
              <w:t xml:space="preserve"> (≤ $200k/yr, ≤ $275k total)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Indirect (F&amp;A) – </w:t>
            </w:r>
            <w:r>
              <w:rPr>
                <w:b/>
                <w:sz w:val="19"/>
              </w:rPr>
              <w:t>max 8%</w:t>
            </w:r>
            <w:r>
              <w:rPr>
                <w:sz w:val="19"/>
              </w:rPr>
              <w:t xml:space="preserve"> for foreign organisations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PART 2 – NIH CORE APPLICATION PACKAGE (all NIH templates)</w:t>
      </w:r>
    </w:p>
    <w:p>
      <w:pPr>
        <w:pStyle w:val="Heading2"/>
      </w:pPr>
      <w:r>
        <w:t>A. Registrations (start 3+ months ahead)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Step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Who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NCAGE code</w:t>
            </w:r>
            <w:r>
              <w:rPr>
                <w:sz w:val="19"/>
              </w:rPr>
              <w:t xml:space="preserve"> (NATO Commercial and Government Entity code; foreign equivalent of CAGE)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Required before SAM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SAM.gov registration → UEI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Renew yearly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Grants.gov</w:t>
            </w:r>
            <w:r>
              <w:rPr>
                <w:sz w:val="19"/>
              </w:rPr>
              <w:t xml:space="preserve"> organisation + Authorised Organisation Representative (AOR)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Institution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eRA Commons</w:t>
            </w:r>
            <w:r>
              <w:rPr>
                <w:sz w:val="19"/>
              </w:rPr>
              <w:t xml:space="preserve"> organisation + Signing Official + PI account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Institution / PI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ORCID iD</w:t>
            </w:r>
            <w:r>
              <w:rPr>
                <w:sz w:val="19"/>
              </w:rPr>
              <w:t xml:space="preserve"> for every key person, linked to eRA Commons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Each person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SciENcv</w:t>
            </w:r>
            <w:r>
              <w:rPr>
                <w:sz w:val="19"/>
              </w:rPr>
              <w:t xml:space="preserve"> biosketch (Common Form + NIH supplement) for each key person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Each person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Required since 25 Jan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Federalwide Assurance (FWA)</w:t>
            </w:r>
            <w:r>
              <w:rPr>
                <w:sz w:val="19"/>
              </w:rPr>
              <w:t xml:space="preserve"> + IRB/IEC registration with OHRP, for each hospital doing human-subjects work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Each hospital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Needed before award (Just-in-Time)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Submission route: ASSIST (NIH online), or the institution's system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Institution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B. Application components checklist (SF424 R&amp;R)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Limit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Cover letter (optional; request NCI, suggest study section)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SF424 R&amp;R cover form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Project/Performance Site locations (all 4 hospitals)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Project Summary/Abstract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 lines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Project Narrative</w:t>
            </w:r>
            <w:r>
              <w:rPr>
                <w:sz w:val="19"/>
              </w:rPr>
              <w:t xml:space="preserve"> (public health relevance)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 sentences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Bibliography &amp; References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 limit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Facilities &amp; Other Resources</w:t>
            </w:r>
            <w:r>
              <w:rPr>
                <w:sz w:val="19"/>
              </w:rPr>
              <w:t xml:space="preserve"> (each site)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§2, §13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Equipment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Foreign Justification</w:t>
            </w:r>
            <w:r>
              <w:rPr>
                <w:sz w:val="19"/>
              </w:rPr>
              <w:t xml:space="preserve"> (Other Project Information; required when applicant or work is outside the US): why this must be done in Thailand: population, burden, unique access, benefit to science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~½ page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Section C below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Senior/Key Person Profiles + </w:t>
            </w:r>
            <w:r>
              <w:rPr>
                <w:b/>
                <w:sz w:val="19"/>
              </w:rPr>
              <w:t>SciENcv biosketches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per form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Current &amp; Pending (Other) Support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at Just-in-Time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Budget + Budget Justification</w:t>
            </w:r>
            <w:r>
              <w:rPr>
                <w:sz w:val="19"/>
              </w:rPr>
              <w:t xml:space="preserve"> (detailed R&amp;R for foreign orgs)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Specific Aims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1 page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Research Strategy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R21: 6 pages / R01: 12 pages</w:t>
            </w:r>
            <w:r>
              <w:rPr>
                <w:sz w:val="19"/>
              </w:rPr>
              <w:t xml:space="preserve"> (check the specific NOFO)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Letters of Support (hospital directors, collaborators, pathology)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Resource Sharing Plan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Data Management &amp; Sharing Plan</w:t>
            </w:r>
            <w:r>
              <w:rPr>
                <w:sz w:val="19"/>
              </w:rPr>
              <w:t xml:space="preserve"> (NIH format page)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~2 pages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Section 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Other Plan(s)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PHS Human Subjects &amp; Clinical Trials Information</w:t>
            </w:r>
            <w:r>
              <w:rPr>
                <w:sz w:val="19"/>
              </w:rPr>
              <w:t xml:space="preserve"> (study record): Protection of Human Subjects, Inclusion of Women/Minorities/Individuals Across the Lifespan, Recruitment &amp; Retention, Study Timeline, and (if a clinical trial) Protocol Synopsis, Statistical Design, Data &amp; Safety Monitoring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§6, §10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Inclusion Enrollment Report (planned enrollment table by sex and ethnicity/race)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Appendix (only blank questionnaires/surveys allowed)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r>
        <w:rPr>
          <w:b/>
        </w:rPr>
        <w:t>Is it a clinical trial (NIH definition)?</w:t>
      </w:r>
      <w:r>
        <w:t xml:space="preserve"> Answer the 4 questions: (1) human participants? (2) prospectively assigned to an intervention? (3) designed to evaluate the intervention's effect on participants? (4) health-related biomedical or behavioural outcome? </w:t>
      </w:r>
      <w:r>
        <w:rPr>
          <w:b/>
        </w:rPr>
        <w:t>All yes = clinical trial.</w:t>
      </w:r>
      <w:r>
        <w:t xml:space="preserve"> A screening-delivery study that measures referral completion or time to diagnosis is often </w:t>
      </w:r>
      <w:r>
        <w:rPr>
          <w:b/>
        </w:rPr>
        <w:t>yes</w:t>
      </w:r>
      <w:r>
        <w:t xml:space="preserve">. A pure diagnostic-accuracy study often </w:t>
      </w:r>
      <w:r>
        <w:rPr>
          <w:b/>
        </w:rPr>
        <w:t>no</w:t>
      </w:r>
      <w:r>
        <w:t>. Choose a NOFO that allows your answer.</w:t>
      </w:r>
    </w:p>
    <w:p>
      <w:pPr>
        <w:pStyle w:val="Heading2"/>
      </w:pPr>
      <w:r>
        <w:t>C. Foreign Justification – fill-in</w:t>
      </w:r>
    </w:p>
    <w:p>
      <w:pPr>
        <w:ind w:left="360"/>
      </w:pPr>
      <w:r>
        <w:rPr>
          <w:i/>
          <w:color w:val="334466"/>
        </w:rPr>
        <w:t>"This project must be conducted in Thailand because (1) oral cancer incidence and late-stage presentation are high, with distinctive risk factors (betel quid, tobacco, alcohol) that are rare in US populations; (2) our 4-hospital network provides access to ____ patients per year and histopathology confirmation; (3) the delivery model (non-specialist, AI-assisted, tele-referral) addresses resource constraints common to LMICs, and findings will inform screening for underserved US populations and globally; (4) the team has unique expertise ____."</w:t>
      </w:r>
    </w:p>
    <w:p>
      <w:pPr>
        <w:pStyle w:val="Heading2"/>
      </w:pPr>
      <w:r>
        <w:t>D. Data Management &amp; Sharing Plan – fill-in (NIH format)</w:t>
      </w:r>
    </w:p>
    <w:p>
      <w:pPr>
        <w:ind w:left="360" w:hanging="280"/>
      </w:pPr>
      <w:r>
        <w:t xml:space="preserve">1. </w:t>
      </w:r>
      <w:r>
        <w:rPr>
          <w:b/>
        </w:rPr>
        <w:t>Data types:</w:t>
      </w:r>
      <w:r>
        <w:t xml:space="preserve"> de-identified oral images (number ____, format), clinical metadata, histopathology labels, model outputs; what will be shared and what cannot be (Thai PDPA, consent limits)</w:t>
      </w:r>
    </w:p>
    <w:p>
      <w:pPr>
        <w:ind w:left="360" w:hanging="280"/>
      </w:pPr>
      <w:r>
        <w:t xml:space="preserve">2. </w:t>
      </w:r>
      <w:r>
        <w:rPr>
          <w:b/>
        </w:rPr>
        <w:t>Tools/software:</w:t>
      </w:r>
      <w:r>
        <w:t xml:space="preserve"> model code (GitHub), licence</w:t>
      </w:r>
    </w:p>
    <w:p>
      <w:pPr>
        <w:ind w:left="360" w:hanging="280"/>
      </w:pPr>
      <w:r>
        <w:t xml:space="preserve">3. </w:t>
      </w:r>
      <w:r>
        <w:rPr>
          <w:b/>
        </w:rPr>
        <w:t>Standards:</w:t>
      </w:r>
      <w:r>
        <w:t xml:space="preserve"> DICOM / JPEG with metadata schema, ____</w:t>
      </w:r>
    </w:p>
    <w:p>
      <w:pPr>
        <w:ind w:left="360" w:hanging="280"/>
      </w:pPr>
      <w:r>
        <w:t xml:space="preserve">4. </w:t>
      </w:r>
      <w:r>
        <w:rPr>
          <w:b/>
        </w:rPr>
        <w:t>Repository &amp; timing:</w:t>
      </w:r>
      <w:r>
        <w:t xml:space="preserve"> controlled-access repository ____ by publication or end of award</w:t>
      </w:r>
    </w:p>
    <w:p>
      <w:pPr>
        <w:ind w:left="360" w:hanging="280"/>
      </w:pPr>
      <w:r>
        <w:t xml:space="preserve">5. </w:t>
      </w:r>
      <w:r>
        <w:rPr>
          <w:b/>
        </w:rPr>
        <w:t>Access, distribution, reuse:</w:t>
      </w:r>
      <w:r>
        <w:t xml:space="preserve"> data-use agreement; controlled access because of identifiable facial/oral images</w:t>
      </w:r>
    </w:p>
    <w:p>
      <w:pPr>
        <w:ind w:left="360" w:hanging="280"/>
      </w:pPr>
      <w:r>
        <w:t xml:space="preserve">6. </w:t>
      </w:r>
      <w:r>
        <w:rPr>
          <w:b/>
        </w:rPr>
        <w:t>Oversight:</w:t>
      </w:r>
      <w:r>
        <w:t xml:space="preserve"> PI + data manager ____</w:t>
      </w:r>
    </w:p>
    <w:p>
      <w:pPr>
        <w:pStyle w:val="Heading2"/>
      </w:pPr>
      <w:r>
        <w:t>E. Review criteria (NIH Simplified Framework)</w:t>
      </w:r>
    </w:p>
    <w:p>
      <w:pPr>
        <w:pStyle w:val="ListBullet"/>
      </w:pPr>
      <w:r>
        <w:rPr>
          <w:b/>
        </w:rPr>
        <w:t>Factor 1 – Importance of the research</w:t>
      </w:r>
      <w:r>
        <w:t xml:space="preserve"> (significance, innovation): scored 1–9</w:t>
      </w:r>
    </w:p>
    <w:p>
      <w:pPr>
        <w:pStyle w:val="ListBullet"/>
      </w:pPr>
      <w:r>
        <w:rPr>
          <w:b/>
        </w:rPr>
        <w:t>Factor 2 – Rigor &amp; feasibility</w:t>
      </w:r>
      <w:r>
        <w:t xml:space="preserve"> (approach): scored 1–9</w:t>
      </w:r>
    </w:p>
    <w:p>
      <w:pPr>
        <w:pStyle w:val="ListBullet"/>
      </w:pPr>
      <w:r>
        <w:rPr>
          <w:b/>
        </w:rPr>
        <w:t>Factor 3 – Expertise &amp; resources</w:t>
      </w:r>
      <w:r>
        <w:t xml:space="preserve"> (team, environment): sufficient / not sufficient</w:t>
      </w:r>
    </w:p>
    <w:p>
      <w:pPr>
        <w:pStyle w:val="ListBullet"/>
      </w:pPr>
      <w:r>
        <w:t>Plus human-subjects protections, inclusion, budget</w:t>
      </w:r>
    </w:p>
    <w:p>
      <w:pPr>
        <w:pStyle w:val="Heading2"/>
      </w:pPr>
      <w:r>
        <w:t>F. NIH rules to remember</w:t>
      </w:r>
    </w:p>
    <w:p>
      <w:pPr>
        <w:pStyle w:val="ListBullet"/>
      </w:pPr>
      <w:r>
        <w:t xml:space="preserve">Max </w:t>
      </w:r>
      <w:r>
        <w:rPr>
          <w:b/>
        </w:rPr>
        <w:t>6 applications per PI per calendar year</w:t>
      </w:r>
      <w:r>
        <w:t xml:space="preserve">. Applications </w:t>
      </w:r>
      <w:r>
        <w:rPr>
          <w:b/>
        </w:rPr>
        <w:t>substantially developed by AI</w:t>
      </w:r>
      <w:r>
        <w:t xml:space="preserve"> are not treated as original (NOT-OD-25-132)</w:t>
      </w:r>
    </w:p>
    <w:p>
      <w:pPr>
        <w:pStyle w:val="ListBullet"/>
      </w:pPr>
      <w:r>
        <w:t xml:space="preserve">Foreign indirect costs </w:t>
      </w:r>
      <w:r>
        <w:rPr>
          <w:b/>
        </w:rPr>
        <w:t>≤ 8%</w:t>
      </w:r>
      <w:r>
        <w:t xml:space="preserve">; foreign applicants use the </w:t>
      </w:r>
      <w:r>
        <w:rPr>
          <w:b/>
        </w:rPr>
        <w:t>detailed</w:t>
      </w:r>
      <w:r>
        <w:t xml:space="preserve"> budget</w:t>
      </w:r>
    </w:p>
    <w:p>
      <w:pPr>
        <w:pStyle w:val="ListBullet"/>
      </w:pPr>
      <w:r>
        <w:rPr>
          <w:b/>
        </w:rPr>
        <w:t>No foreign subawards</w:t>
      </w:r>
      <w:r>
        <w:t xml:space="preserve"> in new applications (see the warning above); ask the programme officer</w:t>
      </w:r>
    </w:p>
    <w:p>
      <w:pPr>
        <w:pStyle w:val="ListBullet"/>
      </w:pPr>
      <w:r>
        <w:t xml:space="preserve">Contact the </w:t>
      </w:r>
      <w:r>
        <w:rPr>
          <w:b/>
        </w:rPr>
        <w:t>programme officer</w:t>
      </w:r>
      <w:r>
        <w:t xml:space="preserve"> named in the NOFO before writing, by email with a 1-page summary</w:t>
      </w:r>
    </w:p>
    <w:p>
      <w:pPr>
        <w:pStyle w:val="Heading2"/>
      </w:pPr>
      <w:r>
        <w:t>G. Verify [CONFIRM]</w:t>
      </w:r>
    </w:p>
    <w:p>
      <w:pPr>
        <w:pStyle w:val="ListBullet"/>
      </w:pPr>
      <w:r>
        <w:t>☐ Current due date and any NOFO reissue/notices (search the NOFO number on grants.nih.gov)</w:t>
      </w:r>
    </w:p>
    <w:p>
      <w:pPr>
        <w:pStyle w:val="ListBullet"/>
      </w:pPr>
      <w:r>
        <w:t>☐ Partner-hospital funding structure, confirmed by the NCI programme officer</w:t>
      </w:r>
    </w:p>
    <w:p>
      <w:pPr>
        <w:pStyle w:val="ListBullet"/>
      </w:pPr>
      <w:r>
        <w:t>☐ Clinical-trial status of your design</w:t>
      </w:r>
    </w:p>
    <w:p>
      <w:pPr>
        <w:pStyle w:val="ListBullet"/>
      </w:pPr>
      <w:r>
        <w:t>☐ Research Strategy page limit in the current NIH Table of Page 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