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#11 NIH IMAT – Advanced Development &amp; Validation of Emerging Technologies (R33, Clinical Trial Not Allowed) – RFA-CA-27-002 / RFA-CA-28-002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≤ $300,000 direct costs per year</w:t>
            </w:r>
            <w:r>
              <w:rPr>
                <w:sz w:val="19"/>
              </w:rPr>
              <w:t xml:space="preserve"> (award ceiling listed); foreign: detailed budget + 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Up to 3 years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Research Strategy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[CONFIRM page limit in NOFO / Table of Page Limits]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Due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RFA-CA-27-002: </w:t>
            </w:r>
            <w:r>
              <w:rPr>
                <w:b/>
                <w:sz w:val="19"/>
              </w:rPr>
              <w:t>10 Nov 2026</w:t>
            </w:r>
            <w:r>
              <w:rPr>
                <w:sz w:val="19"/>
              </w:rPr>
              <w:t>. RFA-CA-28-002 forecasted (next cycle)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✅ Non-US organisations may apply; ❌ no foreign subawards (same rule as R61)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Preliminary data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Required</w:t>
            </w:r>
            <w:r>
              <w:rPr>
                <w:sz w:val="19"/>
              </w:rPr>
              <w:t>: proof of concept already shown for the 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Pre-submission contact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NCI-IMAT@nih.gov ≥ 5 weeks before</w:t>
            </w:r>
          </w:p>
        </w:tc>
      </w:tr>
    </w:tbl>
    <w:p/>
    <w:p>
      <w:pPr>
        <w:pStyle w:val="Heading2"/>
      </w:pPr>
      <w:r>
        <w:t>⚠️ Fit</w:t>
      </w:r>
    </w:p>
    <w:p>
      <w:r>
        <w:t xml:space="preserve">Same scope limits as R61 (template 11): a </w:t>
      </w:r>
      <w:r>
        <w:rPr>
          <w:b/>
        </w:rPr>
        <w:t>technology/device/assay</w:t>
      </w:r>
      <w:r>
        <w:t xml:space="preserve">, </w:t>
      </w:r>
      <w:r>
        <w:rPr>
          <w:b/>
        </w:rPr>
        <w:t>not primarily software or ML</w:t>
      </w:r>
      <w:r>
        <w:t xml:space="preserve">. R33 is the </w:t>
      </w:r>
      <w:r>
        <w:rPr>
          <w:b/>
        </w:rPr>
        <w:t>next step</w:t>
      </w:r>
      <w:r>
        <w:t xml:space="preserve"> after a successful R61 or equivalent pilot: you already have a working prototype and must now </w:t>
      </w:r>
      <w:r>
        <w:rPr>
          <w:b/>
        </w:rPr>
        <w:t>refine it and validate it</w:t>
      </w:r>
      <w:r>
        <w:t xml:space="preserve"> in cancer-relevant samples or settings.</w:t>
      </w:r>
    </w:p>
    <w:p>
      <w:pPr>
        <w:pStyle w:val="Heading2"/>
      </w:pPr>
      <w:r>
        <w:t>Additional required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Preliminary data</w:t>
            </w:r>
            <w:r>
              <w:rPr>
                <w:sz w:val="19"/>
              </w:rPr>
              <w:t xml:space="preserve"> demonstrating feasibility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Prototype works; pilot accuracy numbers; images; specs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Performance Measures / quantitative milestones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Numerical validation targets per year </w:t>
            </w:r>
            <w:r>
              <w:rPr>
                <w:b/>
                <w:sz w:val="19"/>
              </w:rPr>
              <w:t>[CONFIRM exact title in NOFO]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Statement of Potential Impact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 in R61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Validation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Sample size, independent sites (your 4 hospitals), reference standard, statistics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Dissemination / path to adoption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Who will use it next (clinical validation, commercial partner)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IMAT meeting travel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Fill-in template</w:t>
      </w:r>
    </w:p>
    <w:p>
      <w:r>
        <w:rPr>
          <w:b/>
        </w:rPr>
        <w:t>Specific Aims</w:t>
      </w:r>
    </w:p>
    <w:p>
      <w:pPr>
        <w:pStyle w:val="ListBullet"/>
      </w:pPr>
      <w:r>
        <w:t>Prior results: prototype ____, pilot sensitivity ____% / specificity ____% in ____ cases (CP §7)</w:t>
      </w:r>
    </w:p>
    <w:p>
      <w:pPr>
        <w:pStyle w:val="ListBullet"/>
      </w:pPr>
      <w:r>
        <w:t>Aim 1: refine/optimise ____ → target ____</w:t>
      </w:r>
    </w:p>
    <w:p>
      <w:pPr>
        <w:pStyle w:val="ListBullet"/>
      </w:pPr>
      <w:r>
        <w:t>Aim 2: multi-site validation at 4 Thai hospitals on ____ participants/specimens → sensitivity ≥ ____, specificity ≥ ____, inter-device reproducibility ____</w:t>
      </w:r>
    </w:p>
    <w:p>
      <w:pPr>
        <w:pStyle w:val="ListBullet"/>
      </w:pPr>
      <w:r>
        <w:t>Aim 3: usability/robustness in low-resource settings → ____</w:t>
      </w:r>
    </w:p>
    <w:p>
      <w:r>
        <w:rPr>
          <w:b/>
        </w:rPr>
        <w:t>Milestones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Quantitative 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Verify [CONFIRM]</w:t>
      </w:r>
    </w:p>
    <w:p>
      <w:pPr>
        <w:pStyle w:val="ListBullet"/>
      </w:pPr>
      <w:r>
        <w:t>☐ Page limit, duration, and preliminary-data expectations in RFA-CA-28-002</w:t>
      </w:r>
    </w:p>
    <w:p>
      <w:pPr>
        <w:pStyle w:val="ListBullet"/>
      </w:pPr>
      <w:r>
        <w:t>☐ Scope fit, via email to NCI-IMAT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