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#12 NIH ITCR – Early-Stage Development of Informatics Technologies for Cancer Research and Management (U01, Clinical Trial Optional) – RFA-CA-27-019 – Application Template</w:t>
      </w:r>
    </w:p>
    <w:p>
      <w:r>
        <w:t xml:space="preserve">Use </w:t>
      </w:r>
      <w:r>
        <w:rPr>
          <w:b/>
        </w:rPr>
        <w:t>Part 2 of template 10</w:t>
      </w:r>
      <w:r>
        <w:t xml:space="preserve"> (NIH core package).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Key 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Budget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≤ $300,000 direct costs per year</w:t>
            </w:r>
            <w:r>
              <w:rPr>
                <w:sz w:val="19"/>
              </w:rPr>
              <w:t xml:space="preserve"> (excluding consortium F&amp;A); foreign: detailed budget + max 8% indirect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Max </w:t>
            </w:r>
            <w:r>
              <w:rPr>
                <w:b/>
                <w:sz w:val="19"/>
              </w:rPr>
              <w:t>3 years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Remaining due dates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11 Jun 2027</w:t>
            </w:r>
            <w:r>
              <w:rPr>
                <w:sz w:val="19"/>
              </w:rPr>
              <w:t xml:space="preserve"> and </w:t>
            </w:r>
            <w:r>
              <w:rPr>
                <w:b/>
                <w:sz w:val="19"/>
              </w:rPr>
              <w:t>19 Oct 2027</w:t>
            </w:r>
            <w:r>
              <w:rPr>
                <w:sz w:val="19"/>
              </w:rPr>
              <w:t xml:space="preserve"> (5:00 PM applicant local time). Expires 20 Oct 2027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Foreign eligibility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✅ Non-US organisations may apply; ❌ </w:t>
            </w:r>
            <w:r>
              <w:rPr>
                <w:b/>
                <w:sz w:val="19"/>
              </w:rPr>
              <w:t>foreign subawards/subcontracts = noncompliant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Awards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~5 in FY2027 (competitive)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U01 = cooperative agreement (NCI staff involved; you join the ITCR network)</w:t>
            </w:r>
          </w:p>
        </w:tc>
      </w:tr>
    </w:tbl>
    <w:p/>
    <w:p>
      <w:pPr>
        <w:pStyle w:val="Heading2"/>
      </w:pPr>
      <w:r>
        <w:t>⚠️ Fit – read first</w:t>
      </w:r>
    </w:p>
    <w:p>
      <w:r>
        <w:t xml:space="preserve">ITCR funds </w:t>
      </w:r>
      <w:r>
        <w:rPr>
          <w:b/>
        </w:rPr>
        <w:t>informatics tools for the cancer research community</w:t>
      </w:r>
      <w:r>
        <w:t>, from prototype to first dissemination. AI/ML tools are in scope, and "clinical decision support" is listed. However:</w:t>
      </w:r>
    </w:p>
    <w:p>
      <w:pPr>
        <w:pStyle w:val="ListBullet"/>
      </w:pPr>
      <w:r>
        <w:t xml:space="preserve">The tool must be </w:t>
      </w:r>
      <w:r>
        <w:rPr>
          <w:b/>
        </w:rPr>
        <w:t>used by other cancer researchers or clinicians</w:t>
      </w:r>
      <w:r>
        <w:t xml:space="preserve">, with </w:t>
      </w:r>
      <w:r>
        <w:rPr>
          <w:b/>
        </w:rPr>
        <w:t>end-user engagement</w:t>
      </w:r>
      <w:r>
        <w:t xml:space="preserve"> and </w:t>
      </w:r>
      <w:r>
        <w:rPr>
          <w:b/>
        </w:rPr>
        <w:t>collaborator letters</w:t>
      </w:r>
      <w:r>
        <w:t>.</w:t>
      </w:r>
    </w:p>
    <w:p>
      <w:pPr>
        <w:pStyle w:val="ListBullet"/>
      </w:pPr>
      <w:r>
        <w:rPr>
          <w:b/>
        </w:rPr>
        <w:t>Data generation may not exceed 15% of the budget in any year.</w:t>
      </w:r>
      <w:r>
        <w:t xml:space="preserve"> You cannot fund large-scale image collection here. Collect data with Thai funding (02–05), then use ITCR to build the </w:t>
      </w:r>
      <w:r>
        <w:rPr>
          <w:b/>
        </w:rPr>
        <w:t>open tool</w:t>
      </w:r>
      <w:r>
        <w:t>.</w:t>
      </w:r>
    </w:p>
    <w:p>
      <w:pPr>
        <w:pStyle w:val="ListBullet"/>
      </w:pPr>
      <w:r>
        <w:t xml:space="preserve">Projects that mainly </w:t>
      </w:r>
      <w:r>
        <w:rPr>
          <w:b/>
        </w:rPr>
        <w:t>apply existing methods</w:t>
      </w:r>
      <w:r>
        <w:t xml:space="preserve"> are not responsive.</w:t>
      </w:r>
    </w:p>
    <w:p>
      <w:r>
        <w:rPr>
          <w:b/>
        </w:rPr>
        <w:t>Best framing:</w:t>
      </w:r>
      <w:r>
        <w:t xml:space="preserve"> an </w:t>
      </w:r>
      <w:r>
        <w:rPr>
          <w:b/>
        </w:rPr>
        <w:t>open-source platform or toolkit</w:t>
      </w:r>
      <w:r>
        <w:t xml:space="preserve"> for oral-lesion image analysis (standardised acquisition app + annotation tool + trained, documented models + model card) that other oral-cancer research groups worldwide can use and adapt. </w:t>
      </w:r>
      <w:r>
        <w:rPr>
          <w:b/>
        </w:rPr>
        <w:t>Confirm fit with the NCI ITCR contact before writing.</w:t>
      </w:r>
    </w:p>
    <w:p>
      <w:pPr>
        <w:pStyle w:val="Heading2"/>
      </w:pPr>
      <w:r>
        <w:t>Additional required sections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Timeline &amp; milestones</w:t>
            </w:r>
            <w:r>
              <w:rPr>
                <w:sz w:val="19"/>
              </w:rPr>
              <w:t xml:space="preserve"> (Research Strategy)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Realistic technology-development milestones per quarter/year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End-user engagement</w:t>
            </w:r>
            <w:r>
              <w:rPr>
                <w:sz w:val="19"/>
              </w:rPr>
              <w:t xml:space="preserve"> (Research Strategy)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How you collect feedback from users (clinician-researchers at 4 hospitals + external groups)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Software &amp; model sharing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OSI-approved licence (e.g. Apache-2.0/MIT/BSD); free for non-profit research; modification/redistribution rights; version control (GitHub); </w:t>
            </w:r>
            <w:r>
              <w:rPr>
                <w:b/>
                <w:sz w:val="19"/>
              </w:rPr>
              <w:t>named model repository</w:t>
            </w:r>
            <w:r>
              <w:rPr>
                <w:sz w:val="19"/>
              </w:rPr>
              <w:t xml:space="preserve"> (e.g. Hugging Face/Zenodo)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Draft model card</w:t>
            </w:r>
            <w:r>
              <w:rPr>
                <w:sz w:val="19"/>
              </w:rPr>
              <w:t xml:space="preserve"> (ML projects)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 details, intended uses, risks/limitations, training data, evaluation metrics, subgroup performance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ITCR participation plan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Annual meeting, working groups, outreach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Collaborative Activities</w:t>
            </w:r>
            <w:r>
              <w:rPr>
                <w:sz w:val="19"/>
              </w:rPr>
              <w:t xml:space="preserve"> (separate section)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Possible post-award collaborations with other ITCR teams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Letters of support: 2–10 from cancer-research collaborators/end users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E.g. oral cancer research groups in other countries, NCI Thailand, IARC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 xml:space="preserve">Budget: </w:t>
            </w:r>
            <w:r>
              <w:rPr>
                <w:b/>
                <w:sz w:val="19"/>
              </w:rPr>
              <w:t>10% of annual direct costs as "Collaborative Funds"</w:t>
            </w:r>
            <w:r>
              <w:rPr>
                <w:sz w:val="19"/>
              </w:rPr>
              <w:t xml:space="preserve"> from Year 2 onward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Required set-aside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Budget: travel for 1 person/year to the ITCR annual meeting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Management &amp; Sharing Plan (structured format, ≤ 2 pages)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Template 10, Part 2D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Fill-in template</w:t>
      </w:r>
    </w:p>
    <w:p>
      <w:r>
        <w:rPr>
          <w:b/>
        </w:rPr>
        <w:t>Specific Aims</w:t>
      </w:r>
    </w:p>
    <w:p>
      <w:pPr>
        <w:pStyle w:val="ListBullet"/>
      </w:pPr>
      <w:r>
        <w:t>Gap: no open, validated, LMIC-tested tool for standardised oral-lesion image acquisition and AI analysis</w:t>
      </w:r>
    </w:p>
    <w:p>
      <w:pPr>
        <w:pStyle w:val="ListBullet"/>
      </w:pPr>
      <w:r>
        <w:t>Aim 1: develop ____ (acquisition/annotation app + pipeline), milestone ____</w:t>
      </w:r>
    </w:p>
    <w:p>
      <w:pPr>
        <w:pStyle w:val="ListBullet"/>
      </w:pPr>
      <w:r>
        <w:t>Aim 2: develop and benchmark models with explainability and subgroup analysis, milestone ____</w:t>
      </w:r>
    </w:p>
    <w:p>
      <w:pPr>
        <w:pStyle w:val="ListBullet"/>
      </w:pPr>
      <w:r>
        <w:t>Aim 3: harden, document and disseminate (packaging, tutorials, user testing with ____ external groups), milestone ____</w:t>
      </w:r>
    </w:p>
    <w:p>
      <w:r>
        <w:rPr>
          <w:b/>
        </w:rPr>
        <w:t>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Quarter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Success metric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Q2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Q4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Q8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9"/>
              </w:rPr>
              <w:t>Q12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Budget check:</w:t>
      </w:r>
      <w:r>
        <w:t xml:space="preserve"> data generation ≤ 15% of direct costs every year ☐ · 10% collaborative funds from Y2 ☐ · ITCR meeting travel ☐</w:t>
      </w:r>
    </w:p>
    <w:p>
      <w:pPr>
        <w:pStyle w:val="Heading2"/>
      </w:pPr>
      <w:r>
        <w:t>Review emphasis</w:t>
      </w:r>
    </w:p>
    <w:p>
      <w:r>
        <w:t xml:space="preserve">Factor 2 explicitly considers </w:t>
      </w:r>
      <w:r>
        <w:rPr>
          <w:b/>
        </w:rPr>
        <w:t>end-user engagement</w:t>
      </w:r>
      <w:r>
        <w:t xml:space="preserve">, </w:t>
      </w:r>
      <w:r>
        <w:rPr>
          <w:b/>
        </w:rPr>
        <w:t>validation of algorithms/models</w:t>
      </w:r>
      <w:r>
        <w:t xml:space="preserve">, and </w:t>
      </w:r>
      <w:r>
        <w:rPr>
          <w:b/>
        </w:rPr>
        <w:t>security &amp; privacy</w:t>
      </w:r>
      <w:r>
        <w:t>. Address all three directly.</w:t>
      </w:r>
    </w:p>
    <w:p>
      <w:pPr>
        <w:pStyle w:val="Heading2"/>
      </w:pPr>
      <w:r>
        <w:t>Verify [CONFIRM]</w:t>
      </w:r>
    </w:p>
    <w:p>
      <w:pPr>
        <w:pStyle w:val="ListBullet"/>
      </w:pPr>
      <w:r>
        <w:t>☐ Fit with the NCI ITCR programme contact</w:t>
      </w:r>
    </w:p>
    <w:p>
      <w:pPr>
        <w:pStyle w:val="ListBullet"/>
      </w:pPr>
      <w:r>
        <w:t>☐ Research Strategy page limit (Table of Page Limits; usually 12 for U01)</w:t>
      </w:r>
    </w:p>
    <w:p>
      <w:pPr>
        <w:pStyle w:val="ListBullet"/>
      </w:pPr>
      <w:r>
        <w:t>☐ Partner-site structure (no foreign subawards)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