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#17 NIH PAR-25-167 – Cancer Prevention and Control Clinical Trials Grant Program (R01, Clinical Trial Required) – Application Template</w:t>
      </w:r>
    </w:p>
    <w:p>
      <w:r>
        <w:t xml:space="preserve">Use </w:t>
      </w:r>
      <w:r>
        <w:rPr>
          <w:b/>
        </w:rPr>
        <w:t>Part 2 of template 10</w:t>
      </w:r>
      <w:r>
        <w:t xml:space="preserve"> (NIH core package).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sz w:val="19"/>
              </w:rPr>
              <w:t>Key fact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sz w:val="19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Budget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No fixed cap</w:t>
            </w:r>
            <w:r>
              <w:rPr>
                <w:sz w:val="19"/>
              </w:rPr>
              <w:t xml:space="preserve">; must reflect real needs. Requests </w:t>
            </w:r>
            <w:r>
              <w:rPr>
                <w:b/>
                <w:sz w:val="19"/>
              </w:rPr>
              <w:t>≥ $500,000 direct in any year require contacting NCI ≥ 8 weeks before submission</w:t>
            </w:r>
            <w:r>
              <w:rPr>
                <w:sz w:val="19"/>
              </w:rPr>
              <w:t>. Foreign: detailed budget + max 8% indirect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Duration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 xml:space="preserve">Max </w:t>
            </w:r>
            <w:r>
              <w:rPr>
                <w:b/>
                <w:sz w:val="19"/>
              </w:rPr>
              <w:t>5 years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Due dates (new)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 xml:space="preserve">5 Feb / 5 Jun / 5 Oct. </w:t>
            </w:r>
            <w:r>
              <w:rPr>
                <w:b/>
                <w:sz w:val="19"/>
              </w:rPr>
              <w:t>The last new date (5 Oct 2026) has passed, and the NOFO expires 8 Jan 2027. Wait for the reissue</w:t>
            </w:r>
            <w:r>
              <w:rPr>
                <w:sz w:val="19"/>
              </w:rPr>
              <w:t xml:space="preserve"> </w:t>
            </w:r>
            <w:r>
              <w:rPr>
                <w:b/>
                <w:sz w:val="19"/>
              </w:rPr>
              <w:t>[CONFIRM]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Foreign eligibility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✅ Non-US organisations may apply (NCAGE + SAM); international sites must address the complexity of running the trial. Foreign-subaward rules follow current NIH policy (see template 10 warning)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Clinical trial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Required</w:t>
            </w:r>
            <w:r>
              <w:rPr>
                <w:sz w:val="19"/>
              </w:rPr>
              <w:t xml:space="preserve"> (Phase 0–IV prevention/control)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Pre-application contact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 xml:space="preserve">NCI staff </w:t>
            </w:r>
            <w:r>
              <w:rPr>
                <w:b/>
                <w:sz w:val="19"/>
              </w:rPr>
              <w:t>~12 weeks before</w:t>
            </w:r>
            <w:r>
              <w:rPr>
                <w:sz w:val="19"/>
              </w:rPr>
              <w:t xml:space="preserve"> the due date (strongly encouraged)</w:t>
            </w:r>
          </w:p>
        </w:tc>
      </w:tr>
    </w:tbl>
    <w:p/>
    <w:p>
      <w:pPr>
        <w:pStyle w:val="Heading2"/>
      </w:pPr>
      <w:r>
        <w:t>Fit</w:t>
      </w:r>
    </w:p>
    <w:p>
      <w:r>
        <w:t xml:space="preserve">✅ In scope: trials of </w:t>
      </w:r>
      <w:r>
        <w:rPr>
          <w:b/>
        </w:rPr>
        <w:t>screening and early detection</w:t>
      </w:r>
      <w:r>
        <w:t>, including the "operating characteristics and clinical impact" of early-detection technologies; health-care delivery; implementation science.</w:t>
      </w:r>
    </w:p>
    <w:p>
      <w:r>
        <w:t xml:space="preserve">❌ Not in scope: </w:t>
      </w:r>
      <w:r>
        <w:rPr>
          <w:b/>
        </w:rPr>
        <w:t>Phase III imaging or other diagnostic trials</w:t>
      </w:r>
      <w:r>
        <w:t>; Phase 0–II medical imaging trials (→ PAR-25-081, template 19); diagnosis studies in patients; observational studies.</w:t>
      </w:r>
    </w:p>
    <w:p>
      <w:r>
        <w:rPr>
          <w:b/>
        </w:rPr>
        <w:t>Best framing (later stage, after pilot):</w:t>
      </w:r>
      <w:r>
        <w:t xml:space="preserve"> a </w:t>
      </w:r>
      <w:r>
        <w:rPr>
          <w:b/>
        </w:rPr>
        <w:t>pragmatic or cluster-randomised trial</w:t>
      </w:r>
      <w:r>
        <w:t xml:space="preserve"> of AI-assisted community screening vs usual care across the 4 hospitals' catchment areas, measuring </w:t>
      </w:r>
      <w:r>
        <w:rPr>
          <w:b/>
        </w:rPr>
        <w:t>stage at diagnosis, time to diagnosis, referral completion, cost-effectiveness</w:t>
      </w:r>
      <w:r>
        <w:t>.</w:t>
      </w:r>
    </w:p>
    <w:p>
      <w:pPr>
        <w:pStyle w:val="Heading2"/>
      </w:pPr>
      <w:r>
        <w:t>Additional required items (beyond the NIH core package)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sz w:val="19"/>
              </w:rPr>
              <w:t>Item (PHS Human Subjects &amp; CT form section)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sz w:val="19"/>
              </w:rPr>
              <w:t>Content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sz w:val="19"/>
              </w:rPr>
              <w:t>Done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9"/>
              </w:rPr>
              <w:t>4.1.a Clinical Trial Protocol Synopsis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⚠️ Missing = application not reviewed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9"/>
              </w:rPr>
              <w:t>2.5 Recruitment &amp; Retention Plan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 xml:space="preserve">Eligible people per site per year, enrolment rate, challenges + alternatives, monitoring, retention, feasibility evidence, </w:t>
            </w:r>
            <w:r>
              <w:rPr>
                <w:b/>
                <w:sz w:val="19"/>
              </w:rPr>
              <w:t>termination decision points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9"/>
              </w:rPr>
              <w:t>2.7 Study Timeline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 xml:space="preserve">Milestones: protocol final, ClinicalTrials.gov registration, </w:t>
            </w:r>
            <w:r>
              <w:rPr>
                <w:b/>
                <w:sz w:val="19"/>
              </w:rPr>
              <w:t>25/50/75/100% enrolment</w:t>
            </w:r>
            <w:r>
              <w:rPr>
                <w:sz w:val="19"/>
              </w:rPr>
              <w:t>, analyses, results reporting; contingency plans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9"/>
              </w:rPr>
              <w:t>3.3 Data &amp; Safety Monitoring Plan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Safety + trial performance, protocol fidelity, data integrity; DSMB if needed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9"/>
              </w:rPr>
              <w:t>3.5 Study team structure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Collaborators, sites, roles; mentor if new investigator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9"/>
              </w:rPr>
              <w:t>4.3 Statistical Design &amp; Power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Enough to replicate: non-compliance, dropout, missing data, interim analyses; cluster effects (ICC) if cluster-randomised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9"/>
              </w:rPr>
              <w:t>"Clinical Trial Experience" attachment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Trials coordinated in the last 5 years: start/end dates, % accrued, completed?, first publication date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Full protocol (single PDF, if available)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Appendix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ClinicalTrials.gov registration plan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sz w:val="19"/>
              </w:rPr>
              <w:t>☐</w:t>
            </w:r>
          </w:p>
        </w:tc>
      </w:tr>
    </w:tbl>
    <w:p/>
    <w:p>
      <w:pPr>
        <w:pStyle w:val="Heading2"/>
      </w:pPr>
      <w:r>
        <w:t>Fill-in: Recruitment table by site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sz w:val="19"/>
              </w:rPr>
              <w:t>Site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sz w:val="19"/>
              </w:rPr>
              <w:t>Eligible adults/yr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sz w:val="19"/>
              </w:rPr>
              <w:t>Expected enrolment rate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sz w:val="19"/>
              </w:rPr>
              <w:t>Target n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sz w:val="19"/>
              </w:rPr>
              <w:t>Months to reach target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Huathahan Hospital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19"/>
              </w:rPr>
              <w:t>Partner 2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19"/>
              </w:rPr>
              <w:t>Partner 3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19"/>
              </w:rPr>
              <w:t>Partner 4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/>
    <w:p>
      <w:pPr>
        <w:pStyle w:val="Heading2"/>
      </w:pPr>
      <w:r>
        <w:t>Fill-in: Trial milestones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sz w:val="19"/>
              </w:rPr>
              <w:t>Milestone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sz w:val="19"/>
              </w:rPr>
              <w:t>Month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Protocol finalised &amp; ethics approved (all sites)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9"/>
              </w:rPr>
              <w:t>Registered on ClinicalTrials.gov / TCTR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9"/>
              </w:rPr>
              <w:t>25% enrolled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9"/>
              </w:rPr>
              <w:t>50% enrolled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9"/>
              </w:rPr>
              <w:t>75% enrolled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9"/>
              </w:rPr>
              <w:t>100% enrolled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9"/>
              </w:rPr>
              <w:t>Primary analysis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9"/>
              </w:rPr>
              <w:t>Results reported</w:t>
            </w:r>
          </w:p>
        </w:tc>
        <w:tc>
          <w:tcPr>
            <w:tcW w:type="dxa" w:w="4320"/>
          </w:tcPr>
          <w:p/>
        </w:tc>
      </w:tr>
    </w:tbl>
    <w:p/>
    <w:p>
      <w:pPr>
        <w:pStyle w:val="Heading2"/>
      </w:pPr>
      <w:r>
        <w:t>Tips</w:t>
      </w:r>
    </w:p>
    <w:p>
      <w:pPr>
        <w:pStyle w:val="ListBullet"/>
      </w:pPr>
      <w:r>
        <w:t xml:space="preserve">Use pilot data from the R21 / NRCT / HSRI projects to justify </w:t>
      </w:r>
      <w:r>
        <w:rPr>
          <w:b/>
        </w:rPr>
        <w:t>effect size and enrolment rates</w:t>
      </w:r>
      <w:r>
        <w:t>.</w:t>
      </w:r>
    </w:p>
    <w:p>
      <w:pPr>
        <w:pStyle w:val="ListBullet"/>
      </w:pPr>
      <w:r>
        <w:t xml:space="preserve">Reviewers score </w:t>
      </w:r>
      <w:r>
        <w:rPr>
          <w:b/>
        </w:rPr>
        <w:t>feasibility of completing the trial</w:t>
      </w:r>
      <w:r>
        <w:t xml:space="preserve"> heavily, so show realistic recruitment backed by real numbers.</w:t>
      </w:r>
    </w:p>
    <w:p>
      <w:pPr>
        <w:pStyle w:val="Heading2"/>
      </w:pPr>
      <w:r>
        <w:t>Verify [CONFIRM]</w:t>
      </w:r>
    </w:p>
    <w:p>
      <w:pPr>
        <w:pStyle w:val="ListBullet"/>
      </w:pPr>
      <w:r>
        <w:t>☐ Reissued NOFO number and due dates</w:t>
      </w:r>
    </w:p>
    <w:p>
      <w:pPr>
        <w:pStyle w:val="ListBullet"/>
      </w:pPr>
      <w:r>
        <w:t>☐ Partner-site funding structure under current NIH foreign policy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Leelawadee UI" w:eastAsia="Leelawade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cs="Leelawadee U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cs="Leelawadee U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cs="Leelawadee U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cs="Leelawadee U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