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#18 NIH PAR-25-081 – Investigator-Initiated Early Phase Clinical Trials for Cancer Treatment and Diagnosis (R01, Clinical Trial Required) – Application Template</w:t>
      </w:r>
    </w:p>
    <w:p>
      <w:r>
        <w:t xml:space="preserve">Use </w:t>
      </w:r>
      <w:r>
        <w:rPr>
          <w:b/>
        </w:rPr>
        <w:t>Part 2 of template 10</w:t>
      </w:r>
      <w:r>
        <w:t xml:space="preserve"> (NIH core package).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Key fact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Budget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≤ $499,999 direct costs per year</w:t>
            </w:r>
            <w:r>
              <w:rPr>
                <w:sz w:val="19"/>
              </w:rPr>
              <w:t>; no cost sharing; foreign: detailed budget + max 8% indirect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Max </w:t>
            </w:r>
            <w:r>
              <w:rPr>
                <w:b/>
                <w:sz w:val="19"/>
              </w:rPr>
              <w:t>5 years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Due dates (new)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5 Feb / 5 Jun / 5 Oct. </w:t>
            </w:r>
            <w:r>
              <w:rPr>
                <w:b/>
                <w:sz w:val="19"/>
              </w:rPr>
              <w:t>The last new date (5 Oct 2026) has passed, and the NOFO expires 8 Jan 2027. Wait for the reissue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[CONFIRM]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Foreign eligibility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Non-US organisations may apply (NCAGE + SAM); foreign subawards follow current NIH policy (template 10 warning)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Clinical trial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Required</w:t>
            </w:r>
            <w:r>
              <w:rPr>
                <w:sz w:val="19"/>
              </w:rPr>
              <w:t>: Phase 0, I or II only (no Phase III)</w:t>
            </w:r>
          </w:p>
        </w:tc>
      </w:tr>
    </w:tbl>
    <w:p/>
    <w:p>
      <w:pPr>
        <w:pStyle w:val="Heading2"/>
      </w:pPr>
      <w:r>
        <w:t>Fit</w:t>
      </w:r>
    </w:p>
    <w:p>
      <w:r>
        <w:t xml:space="preserve">✅ </w:t>
      </w:r>
      <w:r>
        <w:rPr>
          <w:b/>
        </w:rPr>
        <w:t>Diagnostic / imaging early-phase trials are in scope</w:t>
      </w:r>
      <w:r>
        <w:t xml:space="preserve">, including optical imaging, radiomics, and clinical lab tests. A </w:t>
      </w:r>
      <w:r>
        <w:rPr>
          <w:b/>
        </w:rPr>
        <w:t>Phase II diagnostic trial</w:t>
      </w:r>
      <w:r>
        <w:t xml:space="preserve"> of an AI-assisted optical oral-imaging method fits.</w:t>
      </w:r>
    </w:p>
    <w:p>
      <w:r>
        <w:t xml:space="preserve">❌ Not in scope: Phase III; observational studies that are not NIH-defined clinical trials; </w:t>
      </w:r>
      <w:r>
        <w:rPr>
          <w:b/>
        </w:rPr>
        <w:t>behavioural trials without a therapeutic endpoint</w:t>
      </w:r>
      <w:r>
        <w:t xml:space="preserve"> (→ PAR-25-167, template 18); NCTN/ETCTN/SPORE trials.</w:t>
      </w:r>
    </w:p>
    <w:p>
      <w:r>
        <w:rPr>
          <w:b/>
        </w:rPr>
        <w:t>Framing:</w:t>
      </w:r>
      <w:r>
        <w:t xml:space="preserve"> "A Phase II multi-site trial of AI-assisted [optical/smartphone] imaging to guide biopsy-site selection and improve early detection of oral cancer in high-risk patients." Prospective; the intervention changes clinical decisions (e.g. biopsy site), so it meets the clinical-trial definition.</w:t>
      </w:r>
    </w:p>
    <w:p>
      <w:pPr>
        <w:pStyle w:val="Heading2"/>
      </w:pPr>
      <w:r>
        <w:t>Additional required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Content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4.1 Protocol Synopsis</w:t>
            </w:r>
            <w:r>
              <w:rPr>
                <w:sz w:val="19"/>
              </w:rPr>
              <w:t xml:space="preserve"> (⚠️ required; missing = not reviewed)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Design, arms, endpoints, eligibility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2.5 Recruitment &amp; Retention Plan</w:t>
            </w:r>
            <w:r>
              <w:rPr>
                <w:sz w:val="19"/>
              </w:rPr>
              <w:t xml:space="preserve"> + </w:t>
            </w:r>
            <w:r>
              <w:rPr>
                <w:b/>
                <w:sz w:val="19"/>
              </w:rPr>
              <w:t>table of expected recruitment by site and demographics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2.7 Study Timeline</w:t>
            </w:r>
            <w:r>
              <w:rPr>
                <w:sz w:val="19"/>
              </w:rPr>
              <w:t xml:space="preserve"> with milestones &amp; contingency plans (achievability is an </w:t>
            </w:r>
            <w:r>
              <w:rPr>
                <w:b/>
                <w:sz w:val="19"/>
              </w:rPr>
              <w:t>additional review criterion</w:t>
            </w:r>
            <w:r>
              <w:rPr>
                <w:sz w:val="19"/>
              </w:rPr>
              <w:t>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3.3 Data &amp; Safety Monitoring Plan</w:t>
            </w:r>
            <w:r>
              <w:rPr>
                <w:sz w:val="19"/>
              </w:rPr>
              <w:t>: adverse-event capture, tracking, monitoring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4.3 Statistical Design &amp; Power</w:t>
            </w:r>
            <w:r>
              <w:rPr>
                <w:sz w:val="19"/>
              </w:rPr>
              <w:t xml:space="preserve">: assumptions, dropout, missing data, interim analyses, </w:t>
            </w:r>
            <w:r>
              <w:rPr>
                <w:b/>
                <w:sz w:val="19"/>
              </w:rPr>
              <w:t>stopping rules / go-no-go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"Clinical Trial Experience" table</w:t>
            </w:r>
            <w:r>
              <w:rPr>
                <w:sz w:val="19"/>
              </w:rPr>
              <w:t xml:space="preserve"> (one attachment, exact name): last 5 years; new PIs list a mentor and key team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Combined protocol PDF (appendix)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Regulatory status: Thai FDA for an investigational device/software; FDA IDE only if a US site is involved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Fill-in: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Measure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e.g. sensitivity for high-grade dysplasia/cancer of AI-guided vs standard biopsy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Histopathology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Secondary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Biopsies avoided; time to diagnosis; adverse events; usability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Exploratory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Subgroup performance (site, lesion type, risk factors)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Tips</w:t>
      </w:r>
    </w:p>
    <w:p>
      <w:pPr>
        <w:pStyle w:val="ListBullet"/>
      </w:pPr>
      <w:r>
        <w:t xml:space="preserve">Reviewers judge </w:t>
      </w:r>
      <w:r>
        <w:rPr>
          <w:b/>
        </w:rPr>
        <w:t>completion likelihood</w:t>
      </w:r>
      <w:r>
        <w:t xml:space="preserve"> from your trial track record: fill in the Clinical Trial Experience table carefully, or add an experienced trialist mentor.</w:t>
      </w:r>
    </w:p>
    <w:p>
      <w:pPr>
        <w:pStyle w:val="ListBullet"/>
      </w:pPr>
      <w:r>
        <w:t xml:space="preserve">Define </w:t>
      </w:r>
      <w:r>
        <w:rPr>
          <w:b/>
        </w:rPr>
        <w:t>stopping rules</w:t>
      </w:r>
      <w:r>
        <w:t xml:space="preserve"> and </w:t>
      </w:r>
      <w:r>
        <w:rPr>
          <w:b/>
        </w:rPr>
        <w:t>go/no-go</w:t>
      </w:r>
      <w:r>
        <w:t xml:space="preserve"> criteria explicitly.</w:t>
      </w:r>
    </w:p>
    <w:p>
      <w:pPr>
        <w:pStyle w:val="Heading2"/>
      </w:pPr>
      <w:r>
        <w:t>Verify [CONFIRM]</w:t>
      </w:r>
    </w:p>
    <w:p>
      <w:pPr>
        <w:pStyle w:val="ListBullet"/>
      </w:pPr>
      <w:r>
        <w:t>☐ Reissued NOFO and dates</w:t>
      </w:r>
    </w:p>
    <w:p>
      <w:pPr>
        <w:pStyle w:val="ListBullet"/>
      </w:pPr>
      <w:r>
        <w:t>☐ Partner-site structure under current NIH foreign 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