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Sí, vamos al día con la Carta Gantt; cerramos la Fase 1 a tiempo y estamos ejecutando el Sprint 0 (Setup).</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b w:val="1"/>
                <w:bCs w:val="1"/>
                <w:color w:val="1f4e79"/>
              </w:rPr>
            </w:pPr>
            <w:r w:rsidDel="00000000" w:rsidR="00000000" w:rsidRPr="00000000">
              <w:rPr>
                <w:b w:val="1"/>
                <w:bCs w:val="1"/>
                <w:color w:val="1f4e79"/>
                <w:rtl w:val="0"/>
              </w:rPr>
              <w:t xml:space="preserve">Facilitó: Estandarizar la base de datos (PostGIS) y la API con Docker, y separar el trabajo en carpetas independientes para no pisarnos código.</w:t>
            </w:r>
          </w:p>
          <w:p w:rsidR="00000000" w:rsidDel="00000000" w:rsidP="00000000" w:rsidRDefault="00000000" w:rsidRPr="00000000" w14:paraId="0000000E">
            <w:pPr>
              <w:jc w:val="both"/>
              <w:rPr>
                <w:b w:val="1"/>
                <w:bCs w:val="1"/>
                <w:color w:val="1f4e79"/>
              </w:rPr>
            </w:pPr>
            <w:r w:rsidDel="00000000" w:rsidR="00000000" w:rsidRPr="00000000">
              <w:rPr>
                <w:b w:val="1"/>
                <w:bCs w:val="1"/>
                <w:color w:val="1f4e79"/>
                <w:rtl w:val="0"/>
              </w:rPr>
              <w:t xml:space="preserve">Dificultó: la coordinación inicial en Git.</w:t>
            </w:r>
          </w:p>
          <w:p w:rsidR="00000000" w:rsidDel="00000000" w:rsidP="00000000" w:rsidRDefault="00000000" w:rsidRPr="00000000" w14:paraId="0000000F">
            <w:pPr>
              <w:jc w:val="both"/>
              <w:rPr>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b w:val="1"/>
                <w:bCs w:val="1"/>
                <w:color w:val="1f4e79"/>
                <w:rtl w:val="0"/>
              </w:rPr>
              <w:t xml:space="preserve">Optamos por la simplicidad: cambiamos un flujo complejo de decenas de ramas por trabajo directo a main sobre carpetas separadas, evitando conflictos de código. Además, fijamos un canal de avisos push liviano (ntfy) para coordinar avances sin reuniones largas, dejando la base lista antes del feriado de Fiestas Patrias.</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b w:val="1"/>
                <w:bCs w:val="1"/>
                <w:color w:val="1f4e79"/>
              </w:rPr>
            </w:pPr>
            <w:r w:rsidDel="00000000" w:rsidR="00000000" w:rsidRPr="00000000">
              <w:rPr>
                <w:b w:val="1"/>
                <w:bCs w:val="1"/>
                <w:color w:val="1f4e79"/>
                <w:rtl w:val="0"/>
              </w:rPr>
              <w:t xml:space="preserve">Mi evaluación es positiva. Destaco haber dejado la infraestructura lista: PostgreSQL  + PostGIS en Docker, la API Express en TypeScript y un build optimizado para la nube.</w:t>
            </w:r>
          </w:p>
          <w:p w:rsidR="00000000" w:rsidDel="00000000" w:rsidP="00000000" w:rsidRDefault="00000000" w:rsidRPr="00000000" w14:paraId="00000026">
            <w:pPr>
              <w:jc w:val="both"/>
              <w:rPr>
                <w:b w:val="1"/>
                <w:bCs w:val="1"/>
                <w:color w:val="1f4e79"/>
              </w:rPr>
            </w:pPr>
            <w:r w:rsidDel="00000000" w:rsidR="00000000" w:rsidRPr="00000000">
              <w:rPr>
                <w:rtl w:val="0"/>
              </w:rPr>
            </w:r>
          </w:p>
          <w:p w:rsidR="00000000" w:rsidDel="00000000" w:rsidP="00000000" w:rsidRDefault="00000000" w:rsidRPr="00000000" w14:paraId="00000027">
            <w:pPr>
              <w:jc w:val="both"/>
              <w:rPr>
                <w:b w:val="1"/>
                <w:bCs w:val="1"/>
                <w:color w:val="1f4e79"/>
              </w:rPr>
            </w:pPr>
            <w:r w:rsidDel="00000000" w:rsidR="00000000" w:rsidRPr="00000000">
              <w:rPr>
                <w:b w:val="1"/>
                <w:bCs w:val="1"/>
                <w:color w:val="1f4e79"/>
                <w:rtl w:val="0"/>
              </w:rPr>
              <w:t xml:space="preserve">A mejorar: Documentar de forma aún más simple los pasos de prueba para que mis compañeros puedan validar todo en sus máquinas.</w:t>
            </w:r>
          </w:p>
          <w:p w:rsidR="00000000" w:rsidDel="00000000" w:rsidP="00000000" w:rsidRDefault="00000000" w:rsidRPr="00000000" w14:paraId="00000028">
            <w:pPr>
              <w:jc w:val="both"/>
              <w:rPr>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b w:val="1"/>
                <w:bCs w:val="1"/>
                <w:color w:val="1f4e79"/>
              </w:rPr>
            </w:pPr>
            <w:r w:rsidDel="00000000" w:rsidR="00000000" w:rsidRPr="00000000">
              <w:rPr>
                <w:b w:val="1"/>
                <w:bCs w:val="1"/>
                <w:color w:val="1f4e79"/>
                <w:rtl w:val="0"/>
              </w:rPr>
              <w:t xml:space="preserve">A la docente: ¿Prefiere evaluar las entregas corriendo Docker localmente en su equipo o interactuando con la versión desplegada en la nube (Oracle Cloud Always Free)?</w:t>
            </w:r>
          </w:p>
          <w:p w:rsidR="00000000" w:rsidDel="00000000" w:rsidP="00000000" w:rsidRDefault="00000000" w:rsidRPr="00000000" w14:paraId="00000031">
            <w:pPr>
              <w:jc w:val="both"/>
              <w:rPr>
                <w:b w:val="1"/>
                <w:bCs w:val="1"/>
                <w:color w:val="1f4e79"/>
              </w:rPr>
            </w:pPr>
            <w:r w:rsidDel="00000000" w:rsidR="00000000" w:rsidRPr="00000000">
              <w:rPr>
                <w:b w:val="1"/>
                <w:bCs w:val="1"/>
                <w:color w:val="1f4e79"/>
                <w:rtl w:val="0"/>
              </w:rPr>
              <w:t xml:space="preserve">A mis pares: ¿Pudieron levantar el entorno local siguiendo únicamente las instrucciones del README o algún paso necesita mayor claridad?</w:t>
            </w:r>
          </w:p>
          <w:p w:rsidR="00000000" w:rsidDel="00000000" w:rsidP="00000000" w:rsidRDefault="00000000" w:rsidRPr="00000000" w14:paraId="00000032">
            <w:pPr>
              <w:jc w:val="both"/>
              <w:rPr>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1f4e79"/>
              </w:rPr>
            </w:pPr>
            <w:r w:rsidDel="00000000" w:rsidR="00000000" w:rsidRPr="00000000">
              <w:rPr>
                <w:b w:val="1"/>
                <w:bCs w:val="1"/>
                <w:color w:val="1f4e79"/>
                <w:rtl w:val="0"/>
              </w:rPr>
              <w:t xml:space="preserve">No es necesario redistribuir roles; la división actual (Liderazgo/BD, Desarrollo e Infraestructura, QA) funciona bien y aprovecha las fortalezas de cada uno.</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767171"/>
                <w:sz w:val="24"/>
                <w:szCs w:val="24"/>
              </w:rPr>
            </w:pPr>
            <w:bookmarkStart w:colFirst="0" w:colLast="0" w:name="_heading=h.3plv4oxx6xf7"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4">
            <w:pPr>
              <w:jc w:val="both"/>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1f4e79"/>
              </w:rPr>
            </w:pPr>
            <w:r w:rsidDel="00000000" w:rsidR="00000000" w:rsidRPr="00000000">
              <w:rPr>
                <w:b w:val="1"/>
                <w:bCs w:val="1"/>
                <w:color w:val="1f4e79"/>
                <w:rtl w:val="0"/>
              </w:rPr>
              <w:t xml:space="preserve">Muy buena dinámica de equipo: hay compromiso, respeto y capacidad de tomar decisiones técnicas rápidas.</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1f4e79"/>
              </w:rPr>
            </w:pP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color w:val="767171"/>
                <w:sz w:val="24"/>
                <w:szCs w:val="24"/>
              </w:rPr>
            </w:pPr>
            <w:r w:rsidDel="00000000" w:rsidR="00000000" w:rsidRPr="00000000">
              <w:rPr>
                <w:b w:val="1"/>
                <w:bCs w:val="1"/>
                <w:color w:val="1f4e79"/>
                <w:rtl w:val="0"/>
              </w:rPr>
              <w:t xml:space="preserve">A mejorar: Mayor frecuencia de actualización en Git (git pull regular) para evitar desfasajes y distribuir las pruebas a lo largo de la semana en vez de concentrarlas al final.</w:t>
            </w:r>
            <w:r w:rsidDel="00000000" w:rsidR="00000000" w:rsidRPr="00000000">
              <w:rPr>
                <w:rtl w:val="0"/>
              </w:rPr>
            </w:r>
          </w:p>
          <w:p w:rsidR="00000000" w:rsidDel="00000000" w:rsidP="00000000" w:rsidRDefault="00000000" w:rsidRPr="00000000" w14:paraId="00000048">
            <w:pPr>
              <w:jc w:val="both"/>
              <w:rPr>
                <w:color w:val="767171"/>
                <w:sz w:val="24"/>
                <w:szCs w:val="24"/>
              </w:rPr>
            </w:pPr>
            <w:r w:rsidDel="00000000" w:rsidR="00000000" w:rsidRPr="00000000">
              <w:rPr>
                <w:rtl w:val="0"/>
              </w:rPr>
            </w:r>
          </w:p>
          <w:p w:rsidR="00000000" w:rsidDel="00000000" w:rsidP="00000000" w:rsidRDefault="00000000" w:rsidRPr="00000000" w14:paraId="00000049">
            <w:pPr>
              <w:jc w:val="both"/>
              <w:rPr>
                <w:color w:val="767171"/>
                <w:sz w:val="24"/>
                <w:szCs w:val="24"/>
              </w:rPr>
            </w:pPr>
            <w:r w:rsidDel="00000000" w:rsidR="00000000" w:rsidRPr="00000000">
              <w:rPr>
                <w:rtl w:val="0"/>
              </w:rPr>
            </w:r>
          </w:p>
          <w:p w:rsidR="00000000" w:rsidDel="00000000" w:rsidP="00000000" w:rsidRDefault="00000000" w:rsidRPr="00000000" w14:paraId="0000004A">
            <w:pPr>
              <w:jc w:val="both"/>
              <w:rPr>
                <w:color w:val="767171"/>
                <w:sz w:val="24"/>
                <w:szCs w:val="24"/>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uK+EVVOnkx7tvVDKob+IprUMvw==">CgMxLjAyDmguM3BsdjRveHg2eGY3OAByITFGQ3FQRzhfRThMOGg4MmZZVWk0VHo4S3BwWEx4QlNYRw==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