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4944B" w14:textId="23A9DA00" w:rsidR="00456CFF" w:rsidRDefault="00456CFF" w:rsidP="00456CFF">
      <w:pPr>
        <w:rPr>
          <w:b/>
          <w:u w:val="single"/>
        </w:rPr>
      </w:pPr>
      <w:r>
        <w:rPr>
          <w:b/>
          <w:u w:val="single"/>
        </w:rPr>
        <w:t xml:space="preserve">Practicum </w:t>
      </w:r>
      <w:r w:rsidR="00095941">
        <w:rPr>
          <w:b/>
          <w:u w:val="single"/>
        </w:rPr>
        <w:t xml:space="preserve">5 </w:t>
      </w:r>
      <w:r w:rsidR="00B94444">
        <w:rPr>
          <w:b/>
          <w:u w:val="single"/>
        </w:rPr>
        <w:t>systeemkunde</w:t>
      </w:r>
    </w:p>
    <w:p w14:paraId="4E59BB2A" w14:textId="77777777" w:rsidR="00456CFF" w:rsidRDefault="00456CFF" w:rsidP="00456CFF"/>
    <w:p w14:paraId="0CD65C09" w14:textId="7B11A928" w:rsidR="005B2D45" w:rsidRDefault="00E72723" w:rsidP="00456CFF">
      <w:r>
        <w:t xml:space="preserve">Situatiebeschrijving: </w:t>
      </w:r>
      <w:r w:rsidR="00B94444">
        <w:t>in dit practicum wordt uitgegaan van</w:t>
      </w:r>
      <w:r w:rsidR="005B2D45">
        <w:t xml:space="preserve"> het </w:t>
      </w:r>
      <w:r>
        <w:t xml:space="preserve">onderstaande </w:t>
      </w:r>
      <w:r w:rsidR="005B2D45">
        <w:t>RCL-netwerk</w:t>
      </w:r>
    </w:p>
    <w:p w14:paraId="7A98F141" w14:textId="04E931B9" w:rsidR="005B2D45" w:rsidRDefault="005B2D45" w:rsidP="00456CFF">
      <w:pPr>
        <w:rPr>
          <w:b/>
          <w:u w:val="single"/>
        </w:rPr>
      </w:pPr>
      <w:r w:rsidRPr="000359F9">
        <w:rPr>
          <w:rFonts w:cs="Arial"/>
          <w:b/>
          <w:noProof/>
          <w:color w:val="000000" w:themeColor="text1"/>
          <w:sz w:val="24"/>
          <w:u w:val="single"/>
        </w:rPr>
        <w:drawing>
          <wp:anchor distT="0" distB="0" distL="114300" distR="114300" simplePos="0" relativeHeight="251659264" behindDoc="1" locked="0" layoutInCell="1" allowOverlap="1" wp14:anchorId="0D9DE180" wp14:editId="16E1958A">
            <wp:simplePos x="0" y="0"/>
            <wp:positionH relativeFrom="column">
              <wp:posOffset>-30480</wp:posOffset>
            </wp:positionH>
            <wp:positionV relativeFrom="paragraph">
              <wp:posOffset>102235</wp:posOffset>
            </wp:positionV>
            <wp:extent cx="280035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453" y="21449"/>
                <wp:lineTo x="21453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B297E9" w14:textId="77777777" w:rsidR="005B2D45" w:rsidRDefault="005B2D45" w:rsidP="00456CFF">
      <w:pPr>
        <w:rPr>
          <w:b/>
          <w:u w:val="single"/>
        </w:rPr>
      </w:pPr>
    </w:p>
    <w:p w14:paraId="5E735328" w14:textId="77777777" w:rsidR="005B2D45" w:rsidRDefault="005B2D45" w:rsidP="00456CFF">
      <w:pPr>
        <w:rPr>
          <w:b/>
          <w:u w:val="single"/>
        </w:rPr>
      </w:pPr>
    </w:p>
    <w:p w14:paraId="7B9C5A37" w14:textId="77777777" w:rsidR="005B2D45" w:rsidRDefault="005B2D45" w:rsidP="00456CFF">
      <w:pPr>
        <w:rPr>
          <w:b/>
          <w:u w:val="single"/>
        </w:rPr>
      </w:pPr>
    </w:p>
    <w:p w14:paraId="3D1F96C8" w14:textId="77777777" w:rsidR="005B2D45" w:rsidRDefault="005B2D45" w:rsidP="00456CFF">
      <w:pPr>
        <w:rPr>
          <w:b/>
          <w:u w:val="single"/>
        </w:rPr>
      </w:pPr>
    </w:p>
    <w:p w14:paraId="0E4B0AFA" w14:textId="77777777" w:rsidR="005B2D45" w:rsidRDefault="005B2D45" w:rsidP="00456CFF">
      <w:pPr>
        <w:rPr>
          <w:b/>
          <w:u w:val="single"/>
        </w:rPr>
      </w:pPr>
    </w:p>
    <w:p w14:paraId="039B1421" w14:textId="77777777" w:rsidR="005B2D45" w:rsidRDefault="005B2D45" w:rsidP="00456CFF">
      <w:pPr>
        <w:rPr>
          <w:b/>
          <w:u w:val="single"/>
        </w:rPr>
      </w:pPr>
    </w:p>
    <w:p w14:paraId="4F91B49F" w14:textId="77777777" w:rsidR="005B2D45" w:rsidRDefault="005B2D45" w:rsidP="00456CFF">
      <w:pPr>
        <w:rPr>
          <w:b/>
          <w:u w:val="single"/>
        </w:rPr>
      </w:pPr>
    </w:p>
    <w:p w14:paraId="3E9108F5" w14:textId="77777777" w:rsidR="005B2D45" w:rsidRDefault="005B2D45" w:rsidP="00456CFF">
      <w:pPr>
        <w:rPr>
          <w:b/>
          <w:u w:val="single"/>
        </w:rPr>
      </w:pPr>
    </w:p>
    <w:p w14:paraId="00927C73" w14:textId="77777777" w:rsidR="005B2D45" w:rsidRDefault="005B2D45" w:rsidP="00456CFF">
      <w:pPr>
        <w:rPr>
          <w:b/>
          <w:u w:val="single"/>
        </w:rPr>
      </w:pPr>
    </w:p>
    <w:p w14:paraId="07C8B89F" w14:textId="523B8D29" w:rsidR="005B2D45" w:rsidRDefault="005B2D45" w:rsidP="00456CFF">
      <w:pPr>
        <w:rPr>
          <w:bCs/>
        </w:rPr>
      </w:pPr>
      <w:r>
        <w:rPr>
          <w:bCs/>
        </w:rPr>
        <w:t>In de les is aangetoond dat in dit systeem de volgende overdrachtsfunctie geldt:</w:t>
      </w:r>
    </w:p>
    <w:p w14:paraId="51A33017" w14:textId="7C78C628" w:rsidR="005B2D45" w:rsidRDefault="005B2D45" w:rsidP="00456CFF">
      <w:pPr>
        <w:rPr>
          <w:bCs/>
        </w:rPr>
      </w:pPr>
    </w:p>
    <w:p w14:paraId="4056EAA3" w14:textId="62D9996F" w:rsidR="005B2D45" w:rsidRPr="00832142" w:rsidRDefault="00832142" w:rsidP="00456CFF">
      <w:pPr>
        <w:rPr>
          <w:bCs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2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2"/>
                <w:lang w:val="en-US"/>
              </w:rPr>
              <m:t>s</m:t>
            </m:r>
          </m:e>
        </m:d>
        <m:r>
          <w:rPr>
            <w:rFonts w:ascii="Cambria Math" w:hAnsi="Cambria Math"/>
            <w:color w:val="000000" w:themeColor="text1"/>
            <w:sz w:val="28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2"/>
                  </w:rPr>
                  <m:t>Uc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2"/>
                  </w:rPr>
                  <m:t xml:space="preserve">(s)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2"/>
                  </w:rPr>
                  <m:t>Uin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2"/>
                    <w:lang w:val="en-US"/>
                  </w:rPr>
                  <m:t>(</m:t>
                </m:r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2"/>
                  </w:rPr>
                  <m:t>s</m:t>
                </m:r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2"/>
                    <w:lang w:val="en-US"/>
                  </w:rPr>
                  <m:t>)</m:t>
                </m:r>
              </m:sub>
            </m:sSub>
          </m:den>
        </m:f>
        <m:r>
          <w:rPr>
            <w:rFonts w:ascii="Cambria Math" w:hAnsi="Cambria Math" w:cs="Arial"/>
            <w:color w:val="000000" w:themeColor="text1"/>
            <w:sz w:val="28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8"/>
                <w:szCs w:val="22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8"/>
                <w:szCs w:val="22"/>
              </w:rPr>
              <m:t>LC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sz w:val="28"/>
                <w:szCs w:val="22"/>
                <w:lang w:val="en-US"/>
              </w:rPr>
              <m:t>+</m:t>
            </m:r>
            <m:r>
              <w:rPr>
                <w:rFonts w:ascii="Cambria Math" w:hAnsi="Cambria Math" w:cs="Arial"/>
                <w:color w:val="000000" w:themeColor="text1"/>
                <w:sz w:val="28"/>
                <w:szCs w:val="22"/>
              </w:rPr>
              <m:t>RCs</m:t>
            </m:r>
            <m:r>
              <w:rPr>
                <w:rFonts w:ascii="Cambria Math" w:hAnsi="Cambria Math" w:cs="Arial"/>
                <w:color w:val="000000" w:themeColor="text1"/>
                <w:sz w:val="28"/>
                <w:szCs w:val="22"/>
                <w:lang w:val="en-US"/>
              </w:rPr>
              <m:t>+1</m:t>
            </m:r>
          </m:den>
        </m:f>
      </m:oMath>
      <w:r w:rsidR="005B2D45" w:rsidRPr="00832142">
        <w:rPr>
          <w:bCs/>
          <w:lang w:val="en-US"/>
        </w:rPr>
        <w:t xml:space="preserve"> </w:t>
      </w:r>
    </w:p>
    <w:p w14:paraId="785F729F" w14:textId="77777777" w:rsidR="005B2D45" w:rsidRPr="00832142" w:rsidRDefault="005B2D45" w:rsidP="00456CFF">
      <w:pPr>
        <w:rPr>
          <w:b/>
          <w:u w:val="single"/>
          <w:lang w:val="en-US"/>
        </w:rPr>
      </w:pPr>
    </w:p>
    <w:p w14:paraId="21D4E71B" w14:textId="7F43938D" w:rsidR="005B2D45" w:rsidRPr="004C5C96" w:rsidRDefault="005B2D45" w:rsidP="004C5C96">
      <w:pPr>
        <w:rPr>
          <w:bCs/>
        </w:rPr>
      </w:pPr>
      <w:r>
        <w:rPr>
          <w:bCs/>
        </w:rPr>
        <w:t>We kiezen nu L=1 H en C = 1 F en gaan ‘spelen’ met de R-waarde om zo de verschillende dempingstoestanden in kaart te brengen</w:t>
      </w:r>
      <w:r>
        <w:rPr>
          <w:rStyle w:val="Voetnootmarkering"/>
          <w:bCs/>
        </w:rPr>
        <w:footnoteReference w:id="1"/>
      </w:r>
      <w:r>
        <w:rPr>
          <w:bCs/>
        </w:rPr>
        <w:t>.</w:t>
      </w:r>
    </w:p>
    <w:p w14:paraId="2B80ED6B" w14:textId="77777777" w:rsidR="005B2D45" w:rsidRDefault="005B2D45" w:rsidP="00456CFF">
      <w:pPr>
        <w:rPr>
          <w:b/>
          <w:u w:val="single"/>
        </w:rPr>
      </w:pPr>
    </w:p>
    <w:p w14:paraId="494526CF" w14:textId="032C8A73" w:rsidR="00456CFF" w:rsidRDefault="004C5C96" w:rsidP="00E72723">
      <w:pPr>
        <w:pStyle w:val="Lijstalinea"/>
        <w:numPr>
          <w:ilvl w:val="0"/>
          <w:numId w:val="11"/>
        </w:numPr>
      </w:pPr>
      <w:r>
        <w:t xml:space="preserve">Neem </w:t>
      </w:r>
      <m:oMath>
        <m:r>
          <w:rPr>
            <w:rFonts w:ascii="Cambria Math" w:hAnsi="Cambria Math"/>
          </w:rPr>
          <m:t>R=0 Ω</m:t>
        </m:r>
      </m:oMath>
      <w:r>
        <w:t xml:space="preserve">. Er ontstaat nu een </w:t>
      </w:r>
      <w:r w:rsidRPr="00E72723">
        <w:rPr>
          <w:u w:val="single"/>
        </w:rPr>
        <w:t>ongedempt</w:t>
      </w:r>
      <w:r>
        <w:t xml:space="preserve"> systeem</w:t>
      </w:r>
      <w:r w:rsidR="00832142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>
        <w:t>.</w:t>
      </w:r>
    </w:p>
    <w:p w14:paraId="223F09D1" w14:textId="6768521E" w:rsidR="004C5C96" w:rsidRDefault="004C5C96" w:rsidP="00456CFF"/>
    <w:p w14:paraId="282335C5" w14:textId="06006690" w:rsidR="004C5C96" w:rsidRDefault="004C5C96" w:rsidP="004C5C96">
      <w:pPr>
        <w:pStyle w:val="Lijstalinea"/>
        <w:numPr>
          <w:ilvl w:val="0"/>
          <w:numId w:val="9"/>
        </w:numPr>
      </w:pPr>
      <w:r>
        <w:t>Teken het PN-beeld</w:t>
      </w:r>
      <w:r w:rsidR="00E72723">
        <w:t>.</w:t>
      </w:r>
    </w:p>
    <w:p w14:paraId="021DCFBD" w14:textId="56A39A52" w:rsidR="004C5C96" w:rsidRDefault="004C5C96" w:rsidP="004C5C96">
      <w:pPr>
        <w:pStyle w:val="Lijstalinea"/>
        <w:numPr>
          <w:ilvl w:val="0"/>
          <w:numId w:val="9"/>
        </w:numPr>
      </w:pPr>
      <w:r>
        <w:t xml:space="preserve">Bepaal de relatieve demping </w:t>
      </w:r>
      <m:oMath>
        <m:r>
          <w:rPr>
            <w:rFonts w:ascii="Cambria Math" w:hAnsi="Cambria Math"/>
          </w:rPr>
          <m:t>β</m:t>
        </m:r>
      </m:oMath>
      <w:r>
        <w:t xml:space="preserve">, de absolute demping </w:t>
      </w:r>
      <m:oMath>
        <m:r>
          <w:rPr>
            <w:rFonts w:ascii="Cambria Math" w:hAnsi="Cambria Math"/>
          </w:rPr>
          <m:t>λ</m:t>
        </m:r>
      </m:oMath>
      <w:r>
        <w:t xml:space="preserve">, de ongedempte hoekfrequentie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en de gedempte hoekfrequentie </w:t>
      </w:r>
      <m:oMath>
        <m:r>
          <w:rPr>
            <w:rFonts w:ascii="Cambria Math" w:hAnsi="Cambria Math"/>
          </w:rPr>
          <m:t>ω</m:t>
        </m:r>
      </m:oMath>
      <w:r w:rsidR="00832142">
        <w:t>. Kijk ook even met verstand naar deze getallen en probeer ze te interpreteren.</w:t>
      </w:r>
    </w:p>
    <w:p w14:paraId="4264D658" w14:textId="586B5304" w:rsidR="004C5C96" w:rsidRDefault="004C5C96" w:rsidP="004C5C96">
      <w:pPr>
        <w:pStyle w:val="Lijstalinea"/>
        <w:numPr>
          <w:ilvl w:val="0"/>
          <w:numId w:val="9"/>
        </w:numPr>
      </w:pPr>
      <w:r>
        <w:t>Simuleer in Simulink de eenheidsstapresponsie</w:t>
      </w:r>
      <w:r w:rsidR="00E72723">
        <w:t>.</w:t>
      </w:r>
    </w:p>
    <w:p w14:paraId="77E07B74" w14:textId="77777777" w:rsidR="00832142" w:rsidRDefault="00832142" w:rsidP="004C5C96">
      <w:pPr>
        <w:pStyle w:val="Lijstalinea"/>
        <w:numPr>
          <w:ilvl w:val="0"/>
          <w:numId w:val="9"/>
        </w:numPr>
      </w:pPr>
      <w:r>
        <w:t>S</w:t>
      </w:r>
      <w:r w:rsidR="004C5C96">
        <w:t>tel m.b.v.</w:t>
      </w:r>
      <w:r>
        <w:t xml:space="preserve"> de polen en eventueel het formuleblad de functie op die deze eenheidsstapresponsie beschrijft.</w:t>
      </w:r>
    </w:p>
    <w:p w14:paraId="7CEEB594" w14:textId="77777777" w:rsidR="00522DAC" w:rsidRDefault="00522DAC" w:rsidP="00456CFF">
      <w:pPr>
        <w:rPr>
          <w:b/>
          <w:u w:val="single"/>
        </w:rPr>
      </w:pPr>
    </w:p>
    <w:p w14:paraId="3F6BFA7D" w14:textId="568A4D18" w:rsidR="00832142" w:rsidRDefault="00456CFF" w:rsidP="00E72723">
      <w:pPr>
        <w:pStyle w:val="Lijstalinea"/>
        <w:numPr>
          <w:ilvl w:val="0"/>
          <w:numId w:val="11"/>
        </w:numPr>
      </w:pPr>
      <w:r>
        <w:t xml:space="preserve"> </w:t>
      </w:r>
      <w:r w:rsidR="00832142">
        <w:t xml:space="preserve">Neem </w:t>
      </w:r>
      <m:oMath>
        <m:r>
          <w:rPr>
            <w:rFonts w:ascii="Cambria Math" w:hAnsi="Cambria Math"/>
          </w:rPr>
          <m:t>R=1 Ω</m:t>
        </m:r>
      </m:oMath>
      <w:r w:rsidR="00832142">
        <w:t xml:space="preserve">. Er ontstaat nu een </w:t>
      </w:r>
      <w:r w:rsidR="00832142" w:rsidRPr="00E72723">
        <w:rPr>
          <w:u w:val="single"/>
        </w:rPr>
        <w:t>onderkritisch</w:t>
      </w:r>
      <w:r w:rsidR="00832142">
        <w:t xml:space="preserve"> gedempt systeem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+s+1</m:t>
            </m:r>
          </m:den>
        </m:f>
      </m:oMath>
      <w:r w:rsidR="00832142">
        <w:t>.</w:t>
      </w:r>
    </w:p>
    <w:p w14:paraId="14611794" w14:textId="77777777" w:rsidR="00832142" w:rsidRDefault="00832142" w:rsidP="00832142"/>
    <w:p w14:paraId="2AFABAB0" w14:textId="15E1C7B6" w:rsidR="00832142" w:rsidRDefault="00832142" w:rsidP="00832142">
      <w:pPr>
        <w:pStyle w:val="Lijstalinea"/>
        <w:numPr>
          <w:ilvl w:val="0"/>
          <w:numId w:val="9"/>
        </w:numPr>
      </w:pPr>
      <w:r>
        <w:t>Teken het PN-beeld</w:t>
      </w:r>
      <w:r w:rsidR="00B94444">
        <w:t>.</w:t>
      </w:r>
    </w:p>
    <w:p w14:paraId="6FD8CEC5" w14:textId="77777777" w:rsidR="00832142" w:rsidRDefault="00832142" w:rsidP="00832142">
      <w:pPr>
        <w:pStyle w:val="Lijstalinea"/>
        <w:numPr>
          <w:ilvl w:val="0"/>
          <w:numId w:val="9"/>
        </w:numPr>
      </w:pPr>
      <w:r>
        <w:t xml:space="preserve">Bepaal de relatieve demping </w:t>
      </w:r>
      <m:oMath>
        <m:r>
          <w:rPr>
            <w:rFonts w:ascii="Cambria Math" w:hAnsi="Cambria Math"/>
          </w:rPr>
          <m:t>β</m:t>
        </m:r>
      </m:oMath>
      <w:r>
        <w:t xml:space="preserve">, de absolute demping </w:t>
      </w:r>
      <m:oMath>
        <m:r>
          <w:rPr>
            <w:rFonts w:ascii="Cambria Math" w:hAnsi="Cambria Math"/>
          </w:rPr>
          <m:t>λ</m:t>
        </m:r>
      </m:oMath>
      <w:r>
        <w:t xml:space="preserve">, de ongedempte hoekfrequentie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en de gedempte hoekfrequentie </w:t>
      </w:r>
      <m:oMath>
        <m:r>
          <w:rPr>
            <w:rFonts w:ascii="Cambria Math" w:hAnsi="Cambria Math"/>
          </w:rPr>
          <m:t>ω</m:t>
        </m:r>
      </m:oMath>
      <w:r>
        <w:t>. Kijk ook even met verstand naar deze getallen en probeer ze te interpreteren.</w:t>
      </w:r>
    </w:p>
    <w:p w14:paraId="6B815DCA" w14:textId="5514474E" w:rsidR="00832142" w:rsidRDefault="00832142" w:rsidP="00832142">
      <w:pPr>
        <w:pStyle w:val="Lijstalinea"/>
        <w:numPr>
          <w:ilvl w:val="0"/>
          <w:numId w:val="9"/>
        </w:numPr>
      </w:pPr>
      <w:r>
        <w:t>Simuleer in Simulink de eenheidsstapresponsie</w:t>
      </w:r>
      <w:r w:rsidR="00E72723">
        <w:t>.</w:t>
      </w:r>
    </w:p>
    <w:p w14:paraId="5CF802E5" w14:textId="6BD23EC9" w:rsidR="00832142" w:rsidRDefault="00832142" w:rsidP="00832142">
      <w:pPr>
        <w:pStyle w:val="Lijstalinea"/>
        <w:numPr>
          <w:ilvl w:val="0"/>
          <w:numId w:val="9"/>
        </w:numPr>
      </w:pPr>
      <w:r>
        <w:t>Stel m.b.v. de polen en eventueel het formuleblad de functie op die deze eenheidsstapresponsie beschrijft.</w:t>
      </w:r>
    </w:p>
    <w:p w14:paraId="7BBFA3CB" w14:textId="2BE1472A" w:rsidR="00832142" w:rsidRDefault="00832142" w:rsidP="00832142">
      <w:pPr>
        <w:pStyle w:val="Lijstalinea"/>
        <w:numPr>
          <w:ilvl w:val="0"/>
          <w:numId w:val="9"/>
        </w:numPr>
      </w:pPr>
      <w:r>
        <w:t>Hoe groot wordt de doorschot (percentage)?</w:t>
      </w:r>
    </w:p>
    <w:p w14:paraId="7C73CDA0" w14:textId="588AB962" w:rsidR="00832142" w:rsidRDefault="00832142" w:rsidP="00832142"/>
    <w:p w14:paraId="40864092" w14:textId="6CEB4E70" w:rsidR="00832142" w:rsidRDefault="00832142" w:rsidP="00E72723">
      <w:pPr>
        <w:pStyle w:val="Lijstalinea"/>
        <w:numPr>
          <w:ilvl w:val="0"/>
          <w:numId w:val="11"/>
        </w:numPr>
      </w:pPr>
      <w:r w:rsidRPr="00E72723">
        <w:rPr>
          <w:bCs/>
        </w:rPr>
        <w:t xml:space="preserve">Neem </w:t>
      </w:r>
      <m:oMath>
        <m:r>
          <w:rPr>
            <w:rFonts w:ascii="Cambria Math" w:hAnsi="Cambria Math"/>
          </w:rPr>
          <m:t>R=4 Ω</m:t>
        </m:r>
      </m:oMath>
      <w:r w:rsidR="00E72723">
        <w:t xml:space="preserve">. Er ontstaat nu een </w:t>
      </w:r>
      <w:r w:rsidR="00E72723" w:rsidRPr="00E72723">
        <w:rPr>
          <w:u w:val="single"/>
        </w:rPr>
        <w:t>overkritisch</w:t>
      </w:r>
      <w:r w:rsidR="00E72723">
        <w:t xml:space="preserve"> gedempt systeem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+4s+1</m:t>
            </m:r>
          </m:den>
        </m:f>
      </m:oMath>
      <w:r w:rsidR="00E72723">
        <w:t>.</w:t>
      </w:r>
    </w:p>
    <w:p w14:paraId="1AC980B5" w14:textId="3F5B722D" w:rsidR="00E72723" w:rsidRDefault="00E72723" w:rsidP="00832142"/>
    <w:p w14:paraId="3237FAB2" w14:textId="2D54085C" w:rsidR="00E72723" w:rsidRDefault="00E72723" w:rsidP="00E72723">
      <w:pPr>
        <w:pStyle w:val="Lijstalinea"/>
        <w:numPr>
          <w:ilvl w:val="0"/>
          <w:numId w:val="9"/>
        </w:numPr>
        <w:rPr>
          <w:bCs/>
        </w:rPr>
      </w:pPr>
      <w:r>
        <w:rPr>
          <w:bCs/>
        </w:rPr>
        <w:t>Teken het PN-beeld</w:t>
      </w:r>
    </w:p>
    <w:p w14:paraId="0BD17C0E" w14:textId="3F6352D7" w:rsidR="00E72723" w:rsidRPr="00E72723" w:rsidRDefault="00E72723" w:rsidP="00E72723">
      <w:pPr>
        <w:pStyle w:val="Lijstalinea"/>
        <w:numPr>
          <w:ilvl w:val="0"/>
          <w:numId w:val="9"/>
        </w:numPr>
        <w:rPr>
          <w:bCs/>
        </w:rPr>
      </w:pPr>
      <w:r>
        <w:t xml:space="preserve">Bepaal de relatieve demping </w:t>
      </w:r>
      <m:oMath>
        <m:r>
          <w:rPr>
            <w:rFonts w:ascii="Cambria Math" w:hAnsi="Cambria Math"/>
          </w:rPr>
          <m:t>β</m:t>
        </m:r>
      </m:oMath>
    </w:p>
    <w:p w14:paraId="70C12E69" w14:textId="77777777" w:rsidR="00E72723" w:rsidRDefault="00E72723" w:rsidP="00E72723">
      <w:pPr>
        <w:pStyle w:val="Lijstalinea"/>
        <w:numPr>
          <w:ilvl w:val="0"/>
          <w:numId w:val="9"/>
        </w:numPr>
      </w:pPr>
      <w:r>
        <w:t>Simuleer in Simulink de eenheidsstapresponsie.</w:t>
      </w:r>
    </w:p>
    <w:p w14:paraId="606DD640" w14:textId="069EA0A7" w:rsidR="00E72723" w:rsidRPr="00E72723" w:rsidRDefault="00E72723" w:rsidP="00E72723">
      <w:pPr>
        <w:pStyle w:val="Lijstalinea"/>
        <w:numPr>
          <w:ilvl w:val="0"/>
          <w:numId w:val="9"/>
        </w:numPr>
        <w:rPr>
          <w:bCs/>
        </w:rPr>
      </w:pPr>
      <w:r>
        <w:rPr>
          <w:bCs/>
        </w:rPr>
        <w:t>Wat maakt de stapresponsie in dit systeem wezenlijk anders dan in het geval van de opgaven A. en B?</w:t>
      </w:r>
      <w:r w:rsidR="00B94444">
        <w:rPr>
          <w:bCs/>
        </w:rPr>
        <w:t xml:space="preserve"> En hoe is dat aan het PN-beeld te zien?</w:t>
      </w:r>
    </w:p>
    <w:p w14:paraId="3E09BA57" w14:textId="77777777" w:rsidR="00832142" w:rsidRDefault="00832142" w:rsidP="00832142"/>
    <w:p w14:paraId="4C7FE396" w14:textId="77777777" w:rsidR="00832142" w:rsidRDefault="00832142" w:rsidP="00832142"/>
    <w:p w14:paraId="6A5CFF8D" w14:textId="216F12B3" w:rsidR="00456CFF" w:rsidRDefault="00456CFF" w:rsidP="00832142"/>
    <w:sectPr w:rsidR="00456CFF" w:rsidSect="00721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C3BB8" w14:textId="77777777" w:rsidR="00CC5C77" w:rsidRDefault="00CC5C77" w:rsidP="005B2D45">
      <w:r>
        <w:separator/>
      </w:r>
    </w:p>
  </w:endnote>
  <w:endnote w:type="continuationSeparator" w:id="0">
    <w:p w14:paraId="4F84ABB9" w14:textId="77777777" w:rsidR="00CC5C77" w:rsidRDefault="00CC5C77" w:rsidP="005B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00F3A" w14:textId="77777777" w:rsidR="00CC5C77" w:rsidRDefault="00CC5C77" w:rsidP="005B2D45">
      <w:r>
        <w:separator/>
      </w:r>
    </w:p>
  </w:footnote>
  <w:footnote w:type="continuationSeparator" w:id="0">
    <w:p w14:paraId="5CE5BC3F" w14:textId="77777777" w:rsidR="00CC5C77" w:rsidRDefault="00CC5C77" w:rsidP="005B2D45">
      <w:r>
        <w:continuationSeparator/>
      </w:r>
    </w:p>
  </w:footnote>
  <w:footnote w:id="1">
    <w:p w14:paraId="7DB67D4E" w14:textId="4A589859" w:rsidR="005B2D45" w:rsidRDefault="005B2D45">
      <w:pPr>
        <w:pStyle w:val="Voetnoottekst"/>
      </w:pPr>
      <w:r>
        <w:rPr>
          <w:rStyle w:val="Voetnootmarkering"/>
        </w:rPr>
        <w:footnoteRef/>
      </w:r>
      <w:r>
        <w:t xml:space="preserve"> De</w:t>
      </w:r>
      <w:r w:rsidR="00BC5FEC">
        <w:t xml:space="preserve"> gegeven</w:t>
      </w:r>
      <w:r>
        <w:t xml:space="preserve"> waarden zijn uiteraard niet </w:t>
      </w:r>
      <w:r w:rsidR="00BC5FEC">
        <w:t xml:space="preserve">bijzonder </w:t>
      </w:r>
      <w:r>
        <w:t>realistisch</w:t>
      </w:r>
      <w:r w:rsidR="00BC5FEC">
        <w:t xml:space="preserve">, maar zijn toch op deze manier gekozen om het rekenwerk in de opgave overzichtelijk te houden. Bij </w:t>
      </w:r>
      <w:r w:rsidR="004C5C96">
        <w:t xml:space="preserve">meer </w:t>
      </w:r>
      <w:r w:rsidR="00BC5FEC">
        <w:t xml:space="preserve">realistische waarden zijn de </w:t>
      </w:r>
      <w:r w:rsidR="004C5C96">
        <w:t xml:space="preserve">verschillende </w:t>
      </w:r>
      <w:r w:rsidR="00BC5FEC">
        <w:t xml:space="preserve">dempingstoestanden er niet </w:t>
      </w:r>
      <w:r w:rsidR="004C5C96">
        <w:t xml:space="preserve">anders </w:t>
      </w:r>
      <w:r w:rsidR="00BC5FEC">
        <w:t xml:space="preserve">om!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905"/>
    <w:multiLevelType w:val="hybridMultilevel"/>
    <w:tmpl w:val="BC6061C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C06982"/>
    <w:multiLevelType w:val="hybridMultilevel"/>
    <w:tmpl w:val="1AE416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0392"/>
    <w:multiLevelType w:val="hybridMultilevel"/>
    <w:tmpl w:val="179E73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600BE"/>
    <w:multiLevelType w:val="singleLevel"/>
    <w:tmpl w:val="0413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FD0143D"/>
    <w:multiLevelType w:val="hybridMultilevel"/>
    <w:tmpl w:val="38E4073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316705"/>
    <w:multiLevelType w:val="hybridMultilevel"/>
    <w:tmpl w:val="FB30F82C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923449"/>
    <w:multiLevelType w:val="hybridMultilevel"/>
    <w:tmpl w:val="A0C08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87D71"/>
    <w:multiLevelType w:val="hybridMultilevel"/>
    <w:tmpl w:val="E340AC40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85E65C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7B7B41"/>
    <w:multiLevelType w:val="hybridMultilevel"/>
    <w:tmpl w:val="C6EE45B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EC73A05"/>
    <w:multiLevelType w:val="hybridMultilevel"/>
    <w:tmpl w:val="C982308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15139"/>
    <w:multiLevelType w:val="hybridMultilevel"/>
    <w:tmpl w:val="932EC48A"/>
    <w:lvl w:ilvl="0" w:tplc="0413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64007112">
    <w:abstractNumId w:val="7"/>
  </w:num>
  <w:num w:numId="2" w16cid:durableId="1112747142">
    <w:abstractNumId w:val="0"/>
  </w:num>
  <w:num w:numId="3" w16cid:durableId="733090967">
    <w:abstractNumId w:val="3"/>
  </w:num>
  <w:num w:numId="4" w16cid:durableId="412360140">
    <w:abstractNumId w:val="5"/>
  </w:num>
  <w:num w:numId="5" w16cid:durableId="513417898">
    <w:abstractNumId w:val="8"/>
  </w:num>
  <w:num w:numId="6" w16cid:durableId="36660700">
    <w:abstractNumId w:val="4"/>
  </w:num>
  <w:num w:numId="7" w16cid:durableId="447437279">
    <w:abstractNumId w:val="10"/>
  </w:num>
  <w:num w:numId="8" w16cid:durableId="824468397">
    <w:abstractNumId w:val="1"/>
  </w:num>
  <w:num w:numId="9" w16cid:durableId="1019039709">
    <w:abstractNumId w:val="6"/>
  </w:num>
  <w:num w:numId="10" w16cid:durableId="1606040959">
    <w:abstractNumId w:val="2"/>
  </w:num>
  <w:num w:numId="11" w16cid:durableId="739405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08"/>
    <w:rsid w:val="00095941"/>
    <w:rsid w:val="002424AF"/>
    <w:rsid w:val="002540BD"/>
    <w:rsid w:val="00446F39"/>
    <w:rsid w:val="00456CFF"/>
    <w:rsid w:val="004C5C96"/>
    <w:rsid w:val="00522DAC"/>
    <w:rsid w:val="005B2D45"/>
    <w:rsid w:val="00627453"/>
    <w:rsid w:val="00721511"/>
    <w:rsid w:val="007328B3"/>
    <w:rsid w:val="00755CB2"/>
    <w:rsid w:val="00832142"/>
    <w:rsid w:val="00A75C23"/>
    <w:rsid w:val="00AA4390"/>
    <w:rsid w:val="00B94444"/>
    <w:rsid w:val="00BC5FEC"/>
    <w:rsid w:val="00C13FD8"/>
    <w:rsid w:val="00C77D08"/>
    <w:rsid w:val="00CC5C77"/>
    <w:rsid w:val="00E50018"/>
    <w:rsid w:val="00E72723"/>
    <w:rsid w:val="00F6506F"/>
    <w:rsid w:val="00FB6ABA"/>
    <w:rsid w:val="00FC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13D0"/>
  <w15:docId w15:val="{2AD96A5A-EC59-4244-9F4A-959092CD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77D0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B2D45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B2D45"/>
    <w:rPr>
      <w:rFonts w:ascii="Arial" w:eastAsia="Times New Roman" w:hAnsi="Arial" w:cs="Times New Roman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B2D4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4C5C96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4C5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D86E8-67C9-4399-9B5E-42754BABFDA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p30152993</dc:creator>
  <cp:lastModifiedBy>Johannes Hakvoort</cp:lastModifiedBy>
  <cp:revision>2</cp:revision>
  <dcterms:created xsi:type="dcterms:W3CDTF">2025-07-04T13:40:00Z</dcterms:created>
  <dcterms:modified xsi:type="dcterms:W3CDTF">2025-07-04T13:40:00Z</dcterms:modified>
</cp:coreProperties>
</file>