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Nome: Elen Vitoria Vieira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5W2H</w:t>
      </w:r>
    </w:p>
    <w:tbl>
      <w:tblPr>
        <w:tblStyle w:val="Table1"/>
        <w:tblW w:w="8504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087"/>
        <w:gridCol w:w="6417"/>
        <w:tblGridChange w:id="0">
          <w:tblGrid>
            <w:gridCol w:w="2087"/>
            <w:gridCol w:w="641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16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16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6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What (O quê?)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16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Desenvolver e lançar a EASY SWAP, uma plataforma web de gestão de trocas e logística reversa para e-commerces.</w:t>
            </w:r>
          </w:p>
        </w:tc>
      </w:tr>
      <w:tr>
        <w:trPr>
          <w:cantSplit w:val="0"/>
          <w:trHeight w:val="1459.4921875000002" w:hRule="atLeast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6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Why (Por quê?)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16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Para simplificar e automatizar o processo de trocas e devoluções, reduzindo retrabalho operacional e melhorando a experiência pós-venda dos clientes de lojas virtuais.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6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Where (Onde?)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16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Operação 100% online, com sistema hospedado na Vercel, banco de dados no Supabase e possibilidade de integração com plataformas de e-commerce como Shopify.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6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When (Quando?)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16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Início imediato do desenvolvimento, com previsão de conclusão em até 50 horas de trabalho, incluindo documentação, implementação e deploy.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6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Who (Quem?)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16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Responsável pelo projeto: desenvolvedora e idealizadora da EASY SWAP.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16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How (Como?)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Desenvolver sistema web responsivo;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Implementar banco de dados no Supabase;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Criar formulário de abertura de ticket com upload de imagens;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Desenvolver painel administrativo para análise de solicitações;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Implementar geração automática de código de postagem (simulado);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Criar dashboard com indicadores operacionais;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deploy na Vercel;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16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Estruturar modelo de negócio baseado em assinatura (SaaS).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16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How much (Quanto custa?)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6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Custos iniciais reduzidos, utilizando planos gratuitos de ferramentas como Supabase e Vercel.</w:t>
            </w:r>
          </w:p>
          <w:p w:rsidR="00000000" w:rsidDel="00000000" w:rsidP="00000000" w:rsidRDefault="00000000" w:rsidRPr="00000000" w14:paraId="0000001A">
            <w:pPr>
              <w:spacing w:after="16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Investimento principal concentrado em: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Tempo de desenvolvimento (60 horas);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Registro de domínio (opcional);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16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Futuro investimento em marketing digital para aquisição de clientes. </w:t>
              <w:br w:type="textWrapping"/>
              <w:t xml:space="preserve">Modelo de receita previsto: assinatura mensal para e-commerces usuários da plataforma.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bCs w:val="1"/>
        <w:smallCap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bCs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