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200"/>
        <w:jc w:val="center"/>
      </w:pPr>
      <w:r>
        <w:rPr>
          <w:rFonts w:ascii="Segoe UI Emoji" w:cs="Segoe UI Emoji" w:eastAsia="Segoe UI Emoji" w:hAnsi="Segoe UI Emoji"/>
          <w:sz w:val="100"/>
          <w:szCs w:val="100"/>
        </w:rPr>
        <w:t xml:space="preserve">🛒</w:t>
      </w:r>
    </w:p>
    <w:p>
      <w:pPr>
        <w:spacing w:before="200" w:after="120"/>
        <w:jc w:val="center"/>
      </w:pPr>
      <w:r>
        <w:rPr>
          <w:rFonts w:ascii="Arial" w:cs="Arial" w:eastAsia="Arial" w:hAnsi="Arial"/>
          <w:b/>
          <w:bCs/>
          <w:color w:val="1A56DB"/>
          <w:sz w:val="80"/>
          <w:szCs w:val="80"/>
        </w:rPr>
        <w:t xml:space="preserve">LiveShop Bolivia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Business Plan &amp; Modelo Financiero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4DA4"/>
                <w:sz w:val="22"/>
                <w:szCs w:val="22"/>
              </w:rPr>
              <w:t xml:space="preserve">Versión 1.0 — Febrero 2026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Santa Cruz de la Sierra, Bolivia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Confidencial — Solo para uso interno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4DA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1. RESUMEN EJECUTIVO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0E4DA4"/>
          <w:sz w:val="32"/>
          <w:szCs w:val="32"/>
        </w:rPr>
        <w:t xml:space="preserve">Resumen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8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LiveShop Bolivia es una plataforma SaaS de gestión de live shopping para vendedores bolivianos en TikTok, Facebook e Instagram. Resuelve el problema crítico de pérdida de pedidos post-transmisión (60-70% de ventas perdidas) mediante automatización con IA, integración con pagos locales (Tigo Money, Banco Unión) y comunicación nativa por WhatsApp.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60"/>
        <w:gridCol w:w="280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Mercado objetivo (SCZ)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~8,500 vendedores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Vendedores activos en redes sociales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Problema validado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60-70% ventas perdidas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Por gestión manual post-live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CAC estimado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190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Costo adquisición por cliente pagante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LTV estimado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3,317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Vida del cliente a 6% churn/mes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LTV/CAC ratio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17.5x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Excelente (industria meta: &gt;3x)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Payback period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~1 mes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Recuperación del CAC en el primer mes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Break-even operativo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Nov 2026 (Mes 9)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 ~150 clientes pagantes activos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Inversión inicial requerida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112,000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~$16,000 USD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MRR proyectado mes 12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39,987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~$5,800 USD/mes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4DA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2. MODELO DE NEGOCIO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0E4DA4"/>
          <w:sz w:val="32"/>
          <w:szCs w:val="32"/>
        </w:rPr>
        <w:t xml:space="preserve">Modelo de Negocio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Propuesta de Valor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LiveShop Bolivia resuelve un problema concreto y costoso para los vendedores bolivianos: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Elimina el caos post-live: los vendedores pasan de 3-4 horas organizando pedidos manualmente a 15 minutos de revisión automática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IA que entiende el español boliviano: parsea mensajes como 'uno pa mi del rojo talla M' en pedidos estructurados automáticamente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Pagos bolivianos nativos: Tigo Money y QR Banco Unión integrados, sin necesidad de transferencias manuales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WhatsApp como canal central: confirmaciones automáticas en el mismo canal que ya usan vendedores y compradores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Precio accesible en Bolivianos: desde Bs. 99/mes, sin complicaciones con USD ni cuentas internacionales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Segmentos de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1600"/>
        <w:gridCol w:w="1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Segmento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Tamaño Estimado SCZ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Vendedoras de ropa/accesorios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Emprendedoras 25-45 años en TikTok/FB Live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~3,500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Alta (MVP)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Vendedores de calzado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Alta rotación de inventario, muchas variaciones (talla/color)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~1,200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Cosméticos y cuidado personal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Transmisiones largas, muchos pedidos simultáneos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~800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Comida y productos gourmet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Ventas de temporada, alta demanda en fiestas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~600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PYMES consolidadas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Negocios con equipo, necesitan plan Business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~400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Alta (Q2)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Agencias de social media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Manejan múltiples cuentas de vendedores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~100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Alta (Q3)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Ventaja Competitiva Sostenible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El 'moat' (foso competitivo) de LiveShop Bolivia tiene 4 capas que se refuerzan mutuamente: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Datos locales: cada live procesado entrena mejor la IA para el español boliviano. A los 12 meses, el modelo será significativamente mejor que cualquier entrante nuevo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Integraciones de pago exclusivas: la integración con Tigo Money y Banco Unión requiere relación directa con las entidades. Esta barrera tarda 3-6 meses en replicar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Red de vendedores: cuando el vendedor tiene compradores habituales que ya conocen la plataforma, cambiar tiene un costo real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Datos históricos: el dashboard con historial de ventas, productos más vendidos y métricas por live crea dependencia natural</w:t>
      </w:r>
    </w:p>
    <w:p>
      <w:pPr>
        <w:spacing w:before="100" w:after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3. LÓGICA FINANCIERA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0E4DA4"/>
          <w:sz w:val="32"/>
          <w:szCs w:val="32"/>
        </w:rPr>
        <w:t xml:space="preserve">Lógica Financiera Real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3.1 Estructura de Precios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Los precios están calibrados para el poder adquisitivo boliviano y el ciclo de ingresos de los vendedores. Un vendedor que hace 4 lives/mes con 30 pedidos promedio de Bs. 150, genera Bs. 18,000 en ventas. Cobrarle Bs. 220/mes (Plan Pro) representa solo el 1.2% de sus ventas: una relación de valor inmejorable.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bl>
          <w:tblPr>
            <w:tblW w:type="dxa" w:w="2250"/>
            <w:tblBorders>
              <w:top w:val="single" w:color="auto" w:sz="4"/>
              <w:left w:val="single" w:color="auto" w:sz="4"/>
              <w:bottom w:val="single" w:color="auto" w:sz="4"/>
              <w:right w:val="single" w:color="auto" w:sz="4"/>
              <w:insideH w:val="single" w:color="auto" w:sz="4"/>
              <w:insideV w:val="single" w:color="auto" w:sz="4"/>
            </w:tblBorders>
          </w:tblPr>
          <w:tblGrid>
            <w:gridCol w:w="2250"/>
          </w:tblGrid>
          <w:tr>
            <w:tc>
              <w:tcPr>
                <w:tcW w:type="dxa" w:w="2250"/>
                <w:gridSpan w:val="1"/>
                <w:tcBorders>
                  <w:top w:val="none" w:color="FFFFFF" w:sz="0"/>
                  <w:left w:val="none" w:color="FFFFFF" w:sz="0"/>
                  <w:bottom w:val="none" w:color="FFFFFF" w:sz="0"/>
                  <w:right w:val="none" w:color="FFFFFF" w:sz="0"/>
                </w:tcBorders>
                <w:shd w:fill="475569" w:val="clear"/>
                <w:tcMar>
                  <w:top w:type="dxa" w:w="120"/>
                  <w:left w:type="dxa" w:w="160"/>
                  <w:bottom w:type="dxa" w:w="120"/>
                  <w:right w:type="dxa" w:w="160"/>
                </w:tcMar>
              </w:tcPr>
              <w:p>
                <w:pPr>
                  <w:jc w:val="center"/>
                </w:pPr>
                <w:r>
                  <w:rPr>
                    <w:rFonts w:ascii="Arial" w:cs="Arial" w:eastAsia="Arial" w:hAnsi="Arial"/>
                    <w:b/>
                    <w:bCs/>
                    <w:color w:val="FFFFFF"/>
                    <w:sz w:val="22"/>
                    <w:szCs w:val="22"/>
                  </w:rPr>
                  <w:t xml:space="preserve">FREE</w:t>
                </w:r>
              </w:p>
              <w:p>
                <w:pPr>
                  <w:spacing w:before="80"/>
                  <w:jc w:val="center"/>
                </w:pPr>
                <w:r>
                  <w:rPr>
                    <w:rFonts w:ascii="Arial" w:cs="Arial" w:eastAsia="Arial" w:hAnsi="Arial"/>
                    <w:b/>
                    <w:bCs/>
                    <w:color w:val="FFFFFF"/>
                    <w:sz w:val="32"/>
                    <w:szCs w:val="32"/>
                  </w:rPr>
                  <w:t xml:space="preserve">Bs. 0</w:t>
                </w:r>
              </w:p>
            </w:tc>
          </w:tr>
          <w:tr>
            <w:tc>
              <w:tcPr>
                <w:tcW w:type="dxa" w:w="2250"/>
                <w:tcBorders>
                  <w:top w:val="none" w:color="FFFFFF" w:sz="0"/>
                  <w:left w:val="none" w:color="FFFFFF" w:sz="0"/>
                  <w:bottom w:val="single" w:color="E5E7EB" w:sz="1"/>
                  <w:right w:val="none" w:color="FFFFFF" w:sz="0"/>
                </w:tcBorders>
                <w:shd w:fill="FFFFFF" w:val="clear"/>
                <w:tcMar>
                  <w:top w:type="dxa" w:w="70"/>
                  <w:left w:type="dxa" w:w="160"/>
                  <w:bottom w:type="dxa" w:w="70"/>
                  <w:right w:type="dxa" w:w="160"/>
                </w:tcMar>
              </w:tcPr>
              <w:p>
                <w:r>
                  <w:rPr>
                    <w:rFonts w:ascii="Arial" w:cs="Arial" w:eastAsia="Arial" w:hAnsi="Arial"/>
                    <w:color w:val="111827"/>
                    <w:sz w:val="19"/>
                    <w:szCs w:val="19"/>
                  </w:rPr>
                  <w:t xml:space="preserve">2 lives/mes</w:t>
                </w:r>
              </w:p>
            </w:tc>
          </w:tr>
          <w:tr>
            <w:tc>
              <w:tcPr>
                <w:tcW w:type="dxa" w:w="2250"/>
                <w:tcBorders>
                  <w:top w:val="none" w:color="FFFFFF" w:sz="0"/>
                  <w:left w:val="none" w:color="FFFFFF" w:sz="0"/>
                  <w:bottom w:val="single" w:color="E5E7EB" w:sz="1"/>
                  <w:right w:val="none" w:color="FFFFFF" w:sz="0"/>
                </w:tcBorders>
                <w:shd w:fill="F9FAFB" w:val="clear"/>
                <w:tcMar>
                  <w:top w:type="dxa" w:w="70"/>
                  <w:left w:type="dxa" w:w="160"/>
                  <w:bottom w:type="dxa" w:w="70"/>
                  <w:right w:type="dxa" w:w="160"/>
                </w:tcMar>
              </w:tcPr>
              <w:p>
                <w:r>
                  <w:rPr>
                    <w:rFonts w:ascii="Arial" w:cs="Arial" w:eastAsia="Arial" w:hAnsi="Arial"/>
                    <w:color w:val="111827"/>
                    <w:sz w:val="19"/>
                    <w:szCs w:val="19"/>
                  </w:rPr>
                  <w:t xml:space="preserve">30 pedidos/live</w:t>
                </w:r>
              </w:p>
            </w:tc>
          </w:tr>
          <w:tr>
            <w:tc>
              <w:tcPr>
                <w:tcW w:type="dxa" w:w="2250"/>
                <w:tcBorders>
                  <w:top w:val="none" w:color="FFFFFF" w:sz="0"/>
                  <w:left w:val="none" w:color="FFFFFF" w:sz="0"/>
                  <w:bottom w:val="single" w:color="E5E7EB" w:sz="1"/>
                  <w:right w:val="none" w:color="FFFFFF" w:sz="0"/>
                </w:tcBorders>
                <w:shd w:fill="FFFFFF" w:val="clear"/>
                <w:tcMar>
                  <w:top w:type="dxa" w:w="70"/>
                  <w:left w:type="dxa" w:w="160"/>
                  <w:bottom w:type="dxa" w:w="70"/>
                  <w:right w:type="dxa" w:w="160"/>
                </w:tcMar>
              </w:tcPr>
              <w:p>
                <w:r>
                  <w:rPr>
                    <w:rFonts w:ascii="Arial" w:cs="Arial" w:eastAsia="Arial" w:hAnsi="Arial"/>
                    <w:color w:val="111827"/>
                    <w:sz w:val="19"/>
                    <w:szCs w:val="19"/>
                  </w:rPr>
                  <w:t xml:space="preserve">10 productos</w:t>
                </w:r>
              </w:p>
            </w:tc>
          </w:tr>
          <w:tr>
            <w:tc>
              <w:tcPr>
                <w:tcW w:type="dxa" w:w="2250"/>
                <w:tcBorders>
                  <w:top w:val="none" w:color="FFFFFF" w:sz="0"/>
                  <w:left w:val="none" w:color="FFFFFF" w:sz="0"/>
                  <w:bottom w:val="single" w:color="E5E7EB" w:sz="1"/>
                  <w:right w:val="none" w:color="FFFFFF" w:sz="0"/>
                </w:tcBorders>
                <w:shd w:fill="F9FAFB" w:val="clear"/>
                <w:tcMar>
                  <w:top w:type="dxa" w:w="70"/>
                  <w:left w:type="dxa" w:w="160"/>
                  <w:bottom w:type="dxa" w:w="70"/>
                  <w:right w:type="dxa" w:w="160"/>
                </w:tcMar>
              </w:tcPr>
              <w:p>
                <w:r>
                  <w:rPr>
                    <w:rFonts w:ascii="Arial" w:cs="Arial" w:eastAsia="Arial" w:hAnsi="Arial"/>
                    <w:color w:val="111827"/>
                    <w:sz w:val="19"/>
                    <w:szCs w:val="19"/>
                  </w:rPr>
                  <w:t xml:space="preserve">Panel básico</w:t>
                </w:r>
              </w:p>
            </w:tc>
          </w:tr>
          <w:tr>
            <w:tc>
              <w:tcPr>
                <w:tcW w:type="dxa" w:w="2250"/>
                <w:tcBorders>
                  <w:top w:val="none" w:color="FFFFFF" w:sz="0"/>
                  <w:left w:val="none" w:color="FFFFFF" w:sz="0"/>
                  <w:bottom w:val="single" w:color="E5E7EB" w:sz="1"/>
                  <w:right w:val="none" w:color="FFFFFF" w:sz="0"/>
                </w:tcBorders>
                <w:shd w:fill="FFFFFF" w:val="clear"/>
                <w:tcMar>
                  <w:top w:type="dxa" w:w="70"/>
                  <w:left w:type="dxa" w:w="160"/>
                  <w:bottom w:type="dxa" w:w="70"/>
                  <w:right w:type="dxa" w:w="160"/>
                </w:tcMar>
              </w:tcPr>
              <w:p>
                <w:r>
                  <w:rPr>
                    <w:rFonts w:ascii="Arial" w:cs="Arial" w:eastAsia="Arial" w:hAnsi="Arial"/>
                    <w:color w:val="111827"/>
                    <w:sz w:val="19"/>
                    <w:szCs w:val="19"/>
                  </w:rPr>
                  <w:t xml:space="preserve">Sin pagos</w:t>
                </w:r>
              </w:p>
            </w:tc>
          </w:tr>
          <w:tr>
            <w:tc>
              <w:tcPr>
                <w:tcW w:type="dxa" w:w="2250"/>
                <w:tcBorders>
                  <w:top w:val="none" w:color="FFFFFF" w:sz="0"/>
                  <w:left w:val="none" w:color="FFFFFF" w:sz="0"/>
                  <w:bottom w:val="single" w:color="E5E7EB" w:sz="1"/>
                  <w:right w:val="none" w:color="FFFFFF" w:sz="0"/>
                </w:tcBorders>
                <w:shd w:fill="F9FAFB" w:val="clear"/>
                <w:tcMar>
                  <w:top w:type="dxa" w:w="70"/>
                  <w:left w:type="dxa" w:w="160"/>
                  <w:bottom w:type="dxa" w:w="70"/>
                  <w:right w:type="dxa" w:w="160"/>
                </w:tcMar>
              </w:tcPr>
              <w:p>
                <w:r>
                  <w:rPr>
                    <w:rFonts w:ascii="Arial" w:cs="Arial" w:eastAsia="Arial" w:hAnsi="Arial"/>
                    <w:color w:val="111827"/>
                    <w:sz w:val="19"/>
                    <w:szCs w:val="19"/>
                  </w:rPr>
                  <w:t xml:space="preserve">Sin IA</w:t>
                </w:r>
              </w:p>
            </w:tc>
          </w:tr>
          <w:tr>
            <w:tc>
              <w:tcPr>
                <w:tcW w:type="dxa" w:w="2250"/>
                <w:tcBorders>
                  <w:top w:val="none" w:color="FFFFFF" w:sz="0"/>
                  <w:left w:val="none" w:color="FFFFFF" w:sz="0"/>
                  <w:bottom w:val="single" w:color="E5E7EB" w:sz="1"/>
                  <w:right w:val="none" w:color="FFFFFF" w:sz="0"/>
                </w:tcBorders>
                <w:shd w:fill="FFFFFF" w:val="clear"/>
                <w:tcMar>
                  <w:top w:type="dxa" w:w="70"/>
                  <w:left w:type="dxa" w:w="160"/>
                  <w:bottom w:type="dxa" w:w="70"/>
                  <w:right w:type="dxa" w:w="160"/>
                </w:tcMar>
              </w:tcPr>
              <w:p>
                <w:r>
                  <w:rPr>
                    <w:rFonts w:ascii="Arial" w:cs="Arial" w:eastAsia="Arial" w:hAnsi="Arial"/>
                    <w:color w:val="111827"/>
                    <w:sz w:val="19"/>
                    <w:szCs w:val="19"/>
                  </w:rPr>
                  <w:t xml:space="preserve">Sin WhatsApp</w:t>
                </w:r>
              </w:p>
            </w:tc>
          </w:tr>
        </w:tbl>
        <w:tbl>
          <w:tblPr>
            <w:tblW w:type="dxa" w:w="2250"/>
            <w:tblBorders>
              <w:top w:val="single" w:color="auto" w:sz="4"/>
              <w:left w:val="single" w:color="auto" w:sz="4"/>
              <w:bottom w:val="single" w:color="auto" w:sz="4"/>
              <w:right w:val="single" w:color="auto" w:sz="4"/>
              <w:insideH w:val="single" w:color="auto" w:sz="4"/>
              <w:insideV w:val="single" w:color="auto" w:sz="4"/>
            </w:tblBorders>
          </w:tblPr>
          <w:tblGrid>
            <w:gridCol w:w="2250"/>
          </w:tblGrid>
          <w:tr>
            <w:tc>
              <w:tcPr>
                <w:tcW w:type="dxa" w:w="2250"/>
                <w:gridSpan w:val="1"/>
                <w:tcBorders>
                  <w:top w:val="none" w:color="FFFFFF" w:sz="0"/>
                  <w:left w:val="none" w:color="FFFFFF" w:sz="0"/>
                  <w:bottom w:val="none" w:color="FFFFFF" w:sz="0"/>
                  <w:right w:val="none" w:color="FFFFFF" w:sz="0"/>
                </w:tcBorders>
                <w:shd w:fill="1A56DB" w:val="clear"/>
                <w:tcMar>
                  <w:top w:type="dxa" w:w="120"/>
                  <w:left w:type="dxa" w:w="160"/>
                  <w:bottom w:type="dxa" w:w="120"/>
                  <w:right w:type="dxa" w:w="160"/>
                </w:tcMar>
              </w:tcPr>
              <w:p>
                <w:pPr>
                  <w:jc w:val="center"/>
                </w:pPr>
                <w:r>
                  <w:rPr>
                    <w:rFonts w:ascii="Arial" w:cs="Arial" w:eastAsia="Arial" w:hAnsi="Arial"/>
                    <w:b/>
                    <w:bCs/>
                    <w:color w:val="FFFFFF"/>
                    <w:sz w:val="22"/>
                    <w:szCs w:val="22"/>
                  </w:rPr>
                  <w:t xml:space="preserve">STARTER</w:t>
                </w:r>
              </w:p>
              <w:p>
                <w:pPr>
                  <w:spacing w:before="80"/>
                  <w:jc w:val="center"/>
                </w:pPr>
                <w:r>
                  <w:rPr>
                    <w:rFonts w:ascii="Arial" w:cs="Arial" w:eastAsia="Arial" w:hAnsi="Arial"/>
                    <w:b/>
                    <w:bCs/>
                    <w:color w:val="FFFFFF"/>
                    <w:sz w:val="32"/>
                    <w:szCs w:val="32"/>
                  </w:rPr>
                  <w:t xml:space="preserve">Bs. 99/mes</w:t>
                </w:r>
              </w:p>
            </w:tc>
          </w:tr>
          <w:tr>
            <w:tc>
              <w:tcPr>
                <w:tcW w:type="dxa" w:w="2250"/>
                <w:tcBorders>
                  <w:top w:val="none" w:color="FFFFFF" w:sz="0"/>
                  <w:left w:val="none" w:color="FFFFFF" w:sz="0"/>
                  <w:bottom w:val="single" w:color="E5E7EB" w:sz="1"/>
                  <w:right w:val="none" w:color="FFFFFF" w:sz="0"/>
                </w:tcBorders>
                <w:shd w:fill="FFFFFF" w:val="clear"/>
                <w:tcMar>
                  <w:top w:type="dxa" w:w="70"/>
                  <w:left w:type="dxa" w:w="160"/>
                  <w:bottom w:type="dxa" w:w="70"/>
                  <w:right w:type="dxa" w:w="160"/>
                </w:tcMar>
              </w:tcPr>
              <w:p>
                <w:r>
                  <w:rPr>
                    <w:rFonts w:ascii="Arial" w:cs="Arial" w:eastAsia="Arial" w:hAnsi="Arial"/>
                    <w:color w:val="111827"/>
                    <w:sz w:val="19"/>
                    <w:szCs w:val="19"/>
                  </w:rPr>
                  <w:t xml:space="preserve">8 lives/mes</w:t>
                </w:r>
              </w:p>
            </w:tc>
          </w:tr>
          <w:tr>
            <w:tc>
              <w:tcPr>
                <w:tcW w:type="dxa" w:w="2250"/>
                <w:tcBorders>
                  <w:top w:val="none" w:color="FFFFFF" w:sz="0"/>
                  <w:left w:val="none" w:color="FFFFFF" w:sz="0"/>
                  <w:bottom w:val="single" w:color="E5E7EB" w:sz="1"/>
                  <w:right w:val="none" w:color="FFFFFF" w:sz="0"/>
                </w:tcBorders>
                <w:shd w:fill="F9FAFB" w:val="clear"/>
                <w:tcMar>
                  <w:top w:type="dxa" w:w="70"/>
                  <w:left w:type="dxa" w:w="160"/>
                  <w:bottom w:type="dxa" w:w="70"/>
                  <w:right w:type="dxa" w:w="160"/>
                </w:tcMar>
              </w:tcPr>
              <w:p>
                <w:r>
                  <w:rPr>
                    <w:rFonts w:ascii="Arial" w:cs="Arial" w:eastAsia="Arial" w:hAnsi="Arial"/>
                    <w:color w:val="111827"/>
                    <w:sz w:val="19"/>
                    <w:szCs w:val="19"/>
                  </w:rPr>
                  <w:t xml:space="preserve">100 pedidos/live</w:t>
                </w:r>
              </w:p>
            </w:tc>
          </w:tr>
          <w:tr>
            <w:tc>
              <w:tcPr>
                <w:tcW w:type="dxa" w:w="2250"/>
                <w:tcBorders>
                  <w:top w:val="none" w:color="FFFFFF" w:sz="0"/>
                  <w:left w:val="none" w:color="FFFFFF" w:sz="0"/>
                  <w:bottom w:val="single" w:color="E5E7EB" w:sz="1"/>
                  <w:right w:val="none" w:color="FFFFFF" w:sz="0"/>
                </w:tcBorders>
                <w:shd w:fill="FFFFFF" w:val="clear"/>
                <w:tcMar>
                  <w:top w:type="dxa" w:w="70"/>
                  <w:left w:type="dxa" w:w="160"/>
                  <w:bottom w:type="dxa" w:w="70"/>
                  <w:right w:type="dxa" w:w="160"/>
                </w:tcMar>
              </w:tcPr>
              <w:p>
                <w:r>
                  <w:rPr>
                    <w:rFonts w:ascii="Arial" w:cs="Arial" w:eastAsia="Arial" w:hAnsi="Arial"/>
                    <w:color w:val="111827"/>
                    <w:sz w:val="19"/>
                    <w:szCs w:val="19"/>
                  </w:rPr>
                  <w:t xml:space="preserve">50 productos</w:t>
                </w:r>
              </w:p>
            </w:tc>
          </w:tr>
          <w:tr>
            <w:tc>
              <w:tcPr>
                <w:tcW w:type="dxa" w:w="2250"/>
                <w:tcBorders>
                  <w:top w:val="none" w:color="FFFFFF" w:sz="0"/>
                  <w:left w:val="none" w:color="FFFFFF" w:sz="0"/>
                  <w:bottom w:val="single" w:color="E5E7EB" w:sz="1"/>
                  <w:right w:val="none" w:color="FFFFFF" w:sz="0"/>
                </w:tcBorders>
                <w:shd w:fill="F9FAFB" w:val="clear"/>
                <w:tcMar>
                  <w:top w:type="dxa" w:w="70"/>
                  <w:left w:type="dxa" w:w="160"/>
                  <w:bottom w:type="dxa" w:w="70"/>
                  <w:right w:type="dxa" w:w="160"/>
                </w:tcMar>
              </w:tcPr>
              <w:p>
                <w:r>
                  <w:rPr>
                    <w:rFonts w:ascii="Arial" w:cs="Arial" w:eastAsia="Arial" w:hAnsi="Arial"/>
                    <w:color w:val="111827"/>
                    <w:sz w:val="19"/>
                    <w:szCs w:val="19"/>
                  </w:rPr>
                  <w:t xml:space="preserve">IA basica</w:t>
                </w:r>
              </w:p>
            </w:tc>
          </w:tr>
          <w:tr>
            <w:tc>
              <w:tcPr>
                <w:tcW w:type="dxa" w:w="2250"/>
                <w:tcBorders>
                  <w:top w:val="none" w:color="FFFFFF" w:sz="0"/>
                  <w:left w:val="none" w:color="FFFFFF" w:sz="0"/>
                  <w:bottom w:val="single" w:color="E5E7EB" w:sz="1"/>
                  <w:right w:val="none" w:color="FFFFFF" w:sz="0"/>
                </w:tcBorders>
                <w:shd w:fill="FFFFFF" w:val="clear"/>
                <w:tcMar>
                  <w:top w:type="dxa" w:w="70"/>
                  <w:left w:type="dxa" w:w="160"/>
                  <w:bottom w:type="dxa" w:w="70"/>
                  <w:right w:type="dxa" w:w="160"/>
                </w:tcMar>
              </w:tcPr>
              <w:p>
                <w:r>
                  <w:rPr>
                    <w:rFonts w:ascii="Arial" w:cs="Arial" w:eastAsia="Arial" w:hAnsi="Arial"/>
                    <w:color w:val="111827"/>
                    <w:sz w:val="19"/>
                    <w:szCs w:val="19"/>
                  </w:rPr>
                  <w:t xml:space="preserve">Tigo Money</w:t>
                </w:r>
              </w:p>
            </w:tc>
          </w:tr>
          <w:tr>
            <w:tc>
              <w:tcPr>
                <w:tcW w:type="dxa" w:w="2250"/>
                <w:tcBorders>
                  <w:top w:val="none" w:color="FFFFFF" w:sz="0"/>
                  <w:left w:val="none" w:color="FFFFFF" w:sz="0"/>
                  <w:bottom w:val="single" w:color="E5E7EB" w:sz="1"/>
                  <w:right w:val="none" w:color="FFFFFF" w:sz="0"/>
                </w:tcBorders>
                <w:shd w:fill="F9FAFB" w:val="clear"/>
                <w:tcMar>
                  <w:top w:type="dxa" w:w="70"/>
                  <w:left w:type="dxa" w:w="160"/>
                  <w:bottom w:type="dxa" w:w="70"/>
                  <w:right w:type="dxa" w:w="160"/>
                </w:tcMar>
              </w:tcPr>
              <w:p>
                <w:r>
                  <w:rPr>
                    <w:rFonts w:ascii="Arial" w:cs="Arial" w:eastAsia="Arial" w:hAnsi="Arial"/>
                    <w:color w:val="111827"/>
                    <w:sz w:val="19"/>
                    <w:szCs w:val="19"/>
                  </w:rPr>
                  <w:t xml:space="preserve">WhatsApp auto</w:t>
                </w:r>
              </w:p>
            </w:tc>
          </w:tr>
          <w:tr>
            <w:tc>
              <w:tcPr>
                <w:tcW w:type="dxa" w:w="2250"/>
                <w:tcBorders>
                  <w:top w:val="none" w:color="FFFFFF" w:sz="0"/>
                  <w:left w:val="none" w:color="FFFFFF" w:sz="0"/>
                  <w:bottom w:val="single" w:color="E5E7EB" w:sz="1"/>
                  <w:right w:val="none" w:color="FFFFFF" w:sz="0"/>
                </w:tcBorders>
                <w:shd w:fill="FFFFFF" w:val="clear"/>
                <w:tcMar>
                  <w:top w:type="dxa" w:w="70"/>
                  <w:left w:type="dxa" w:w="160"/>
                  <w:bottom w:type="dxa" w:w="70"/>
                  <w:right w:type="dxa" w:w="160"/>
                </w:tcMar>
              </w:tcPr>
              <w:p>
                <w:r>
                  <w:rPr>
                    <w:rFonts w:ascii="Arial" w:cs="Arial" w:eastAsia="Arial" w:hAnsi="Arial"/>
                    <w:color w:val="111827"/>
                    <w:sz w:val="19"/>
                    <w:szCs w:val="19"/>
                  </w:rPr>
                  <w:t xml:space="preserve">Sin multi-usuario</w:t>
                </w:r>
              </w:p>
            </w:tc>
          </w:tr>
        </w:tbl>
        <w:tbl>
          <w:tblPr>
            <w:tblW w:type="dxa" w:w="2250"/>
            <w:tblBorders>
              <w:top w:val="single" w:color="auto" w:sz="4"/>
              <w:left w:val="single" w:color="auto" w:sz="4"/>
              <w:bottom w:val="single" w:color="auto" w:sz="4"/>
              <w:right w:val="single" w:color="auto" w:sz="4"/>
              <w:insideH w:val="single" w:color="auto" w:sz="4"/>
              <w:insideV w:val="single" w:color="auto" w:sz="4"/>
            </w:tblBorders>
          </w:tblPr>
          <w:tblGrid>
            <w:gridCol w:w="2250"/>
          </w:tblGrid>
          <w:tr>
            <w:tc>
              <w:tcPr>
                <w:tcW w:type="dxa" w:w="2250"/>
                <w:gridSpan w:val="1"/>
                <w:tcBorders>
                  <w:top w:val="none" w:color="FFFFFF" w:sz="0"/>
                  <w:left w:val="none" w:color="FFFFFF" w:sz="0"/>
                  <w:bottom w:val="none" w:color="FFFFFF" w:sz="0"/>
                  <w:right w:val="none" w:color="FFFFFF" w:sz="0"/>
                </w:tcBorders>
                <w:shd w:fill="059669" w:val="clear"/>
                <w:tcMar>
                  <w:top w:type="dxa" w:w="120"/>
                  <w:left w:type="dxa" w:w="160"/>
                  <w:bottom w:type="dxa" w:w="120"/>
                  <w:right w:type="dxa" w:w="160"/>
                </w:tcMar>
              </w:tcPr>
              <w:p>
                <w:pPr>
                  <w:jc w:val="center"/>
                </w:pPr>
                <w:r>
                  <w:rPr>
                    <w:rFonts w:ascii="Arial" w:cs="Arial" w:eastAsia="Arial" w:hAnsi="Arial"/>
                    <w:b/>
                    <w:bCs/>
                    <w:color w:val="FFFFFF"/>
                    <w:sz w:val="22"/>
                    <w:szCs w:val="22"/>
                  </w:rPr>
                  <w:t xml:space="preserve">PRO</w:t>
                </w:r>
              </w:p>
              <w:p>
                <w:pPr>
                  <w:spacing w:before="80"/>
                  <w:jc w:val="center"/>
                </w:pPr>
                <w:r>
                  <w:rPr>
                    <w:rFonts w:ascii="Arial" w:cs="Arial" w:eastAsia="Arial" w:hAnsi="Arial"/>
                    <w:b/>
                    <w:bCs/>
                    <w:color w:val="FFFFFF"/>
                    <w:sz w:val="32"/>
                    <w:szCs w:val="32"/>
                  </w:rPr>
                  <w:t xml:space="preserve">Bs. 220/mes</w:t>
                </w:r>
              </w:p>
            </w:tc>
          </w:tr>
          <w:tr>
            <w:tc>
              <w:tcPr>
                <w:tcW w:type="dxa" w:w="2250"/>
                <w:tcBorders>
                  <w:top w:val="none" w:color="FFFFFF" w:sz="0"/>
                  <w:left w:val="none" w:color="FFFFFF" w:sz="0"/>
                  <w:bottom w:val="single" w:color="E5E7EB" w:sz="1"/>
                  <w:right w:val="none" w:color="FFFFFF" w:sz="0"/>
                </w:tcBorders>
                <w:shd w:fill="FFFFFF" w:val="clear"/>
                <w:tcMar>
                  <w:top w:type="dxa" w:w="70"/>
                  <w:left w:type="dxa" w:w="160"/>
                  <w:bottom w:type="dxa" w:w="70"/>
                  <w:right w:type="dxa" w:w="160"/>
                </w:tcMar>
              </w:tcPr>
              <w:p>
                <w:r>
                  <w:rPr>
                    <w:rFonts w:ascii="Arial" w:cs="Arial" w:eastAsia="Arial" w:hAnsi="Arial"/>
                    <w:color w:val="111827"/>
                    <w:sz w:val="19"/>
                    <w:szCs w:val="19"/>
                  </w:rPr>
                  <w:t xml:space="preserve">Lives ilimitados</w:t>
                </w:r>
              </w:p>
            </w:tc>
          </w:tr>
          <w:tr>
            <w:tc>
              <w:tcPr>
                <w:tcW w:type="dxa" w:w="2250"/>
                <w:tcBorders>
                  <w:top w:val="none" w:color="FFFFFF" w:sz="0"/>
                  <w:left w:val="none" w:color="FFFFFF" w:sz="0"/>
                  <w:bottom w:val="single" w:color="E5E7EB" w:sz="1"/>
                  <w:right w:val="none" w:color="FFFFFF" w:sz="0"/>
                </w:tcBorders>
                <w:shd w:fill="F9FAFB" w:val="clear"/>
                <w:tcMar>
                  <w:top w:type="dxa" w:w="70"/>
                  <w:left w:type="dxa" w:w="160"/>
                  <w:bottom w:type="dxa" w:w="70"/>
                  <w:right w:type="dxa" w:w="160"/>
                </w:tcMar>
              </w:tcPr>
              <w:p>
                <w:r>
                  <w:rPr>
                    <w:rFonts w:ascii="Arial" w:cs="Arial" w:eastAsia="Arial" w:hAnsi="Arial"/>
                    <w:color w:val="111827"/>
                    <w:sz w:val="19"/>
                    <w:szCs w:val="19"/>
                  </w:rPr>
                  <w:t xml:space="preserve">Pedidos ilimitados</w:t>
                </w:r>
              </w:p>
            </w:tc>
          </w:tr>
          <w:tr>
            <w:tc>
              <w:tcPr>
                <w:tcW w:type="dxa" w:w="2250"/>
                <w:tcBorders>
                  <w:top w:val="none" w:color="FFFFFF" w:sz="0"/>
                  <w:left w:val="none" w:color="FFFFFF" w:sz="0"/>
                  <w:bottom w:val="single" w:color="E5E7EB" w:sz="1"/>
                  <w:right w:val="none" w:color="FFFFFF" w:sz="0"/>
                </w:tcBorders>
                <w:shd w:fill="FFFFFF" w:val="clear"/>
                <w:tcMar>
                  <w:top w:type="dxa" w:w="70"/>
                  <w:left w:type="dxa" w:w="160"/>
                  <w:bottom w:type="dxa" w:w="70"/>
                  <w:right w:type="dxa" w:w="160"/>
                </w:tcMar>
              </w:tcPr>
              <w:p>
                <w:r>
                  <w:rPr>
                    <w:rFonts w:ascii="Arial" w:cs="Arial" w:eastAsia="Arial" w:hAnsi="Arial"/>
                    <w:color w:val="111827"/>
                    <w:sz w:val="19"/>
                    <w:szCs w:val="19"/>
                  </w:rPr>
                  <w:t xml:space="preserve">Catalogo ilimitado</w:t>
                </w:r>
              </w:p>
            </w:tc>
          </w:tr>
          <w:tr>
            <w:tc>
              <w:tcPr>
                <w:tcW w:type="dxa" w:w="2250"/>
                <w:tcBorders>
                  <w:top w:val="none" w:color="FFFFFF" w:sz="0"/>
                  <w:left w:val="none" w:color="FFFFFF" w:sz="0"/>
                  <w:bottom w:val="single" w:color="E5E7EB" w:sz="1"/>
                  <w:right w:val="none" w:color="FFFFFF" w:sz="0"/>
                </w:tcBorders>
                <w:shd w:fill="F9FAFB" w:val="clear"/>
                <w:tcMar>
                  <w:top w:type="dxa" w:w="70"/>
                  <w:left w:type="dxa" w:w="160"/>
                  <w:bottom w:type="dxa" w:w="70"/>
                  <w:right w:type="dxa" w:w="160"/>
                </w:tcMar>
              </w:tcPr>
              <w:p>
                <w:r>
                  <w:rPr>
                    <w:rFonts w:ascii="Arial" w:cs="Arial" w:eastAsia="Arial" w:hAnsi="Arial"/>
                    <w:color w:val="111827"/>
                    <w:sz w:val="19"/>
                    <w:szCs w:val="19"/>
                  </w:rPr>
                  <w:t xml:space="preserve">IA completa</w:t>
                </w:r>
              </w:p>
            </w:tc>
          </w:tr>
          <w:tr>
            <w:tc>
              <w:tcPr>
                <w:tcW w:type="dxa" w:w="2250"/>
                <w:tcBorders>
                  <w:top w:val="none" w:color="FFFFFF" w:sz="0"/>
                  <w:left w:val="none" w:color="FFFFFF" w:sz="0"/>
                  <w:bottom w:val="single" w:color="E5E7EB" w:sz="1"/>
                  <w:right w:val="none" w:color="FFFFFF" w:sz="0"/>
                </w:tcBorders>
                <w:shd w:fill="FFFFFF" w:val="clear"/>
                <w:tcMar>
                  <w:top w:type="dxa" w:w="70"/>
                  <w:left w:type="dxa" w:w="160"/>
                  <w:bottom w:type="dxa" w:w="70"/>
                  <w:right w:type="dxa" w:w="160"/>
                </w:tcMar>
              </w:tcPr>
              <w:p>
                <w:r>
                  <w:rPr>
                    <w:rFonts w:ascii="Arial" w:cs="Arial" w:eastAsia="Arial" w:hAnsi="Arial"/>
                    <w:color w:val="111827"/>
                    <w:sz w:val="19"/>
                    <w:szCs w:val="19"/>
                  </w:rPr>
                  <w:t xml:space="preserve">Tigo + Banco Union</w:t>
                </w:r>
              </w:p>
            </w:tc>
          </w:tr>
          <w:tr>
            <w:tc>
              <w:tcPr>
                <w:tcW w:type="dxa" w:w="2250"/>
                <w:tcBorders>
                  <w:top w:val="none" w:color="FFFFFF" w:sz="0"/>
                  <w:left w:val="none" w:color="FFFFFF" w:sz="0"/>
                  <w:bottom w:val="single" w:color="E5E7EB" w:sz="1"/>
                  <w:right w:val="none" w:color="FFFFFF" w:sz="0"/>
                </w:tcBorders>
                <w:shd w:fill="F9FAFB" w:val="clear"/>
                <w:tcMar>
                  <w:top w:type="dxa" w:w="70"/>
                  <w:left w:type="dxa" w:w="160"/>
                  <w:bottom w:type="dxa" w:w="70"/>
                  <w:right w:type="dxa" w:w="160"/>
                </w:tcMar>
              </w:tcPr>
              <w:p>
                <w:r>
                  <w:rPr>
                    <w:rFonts w:ascii="Arial" w:cs="Arial" w:eastAsia="Arial" w:hAnsi="Arial"/>
                    <w:color w:val="111827"/>
                    <w:sz w:val="19"/>
                    <w:szCs w:val="19"/>
                  </w:rPr>
                  <w:t xml:space="preserve">WhatsApp + SMS</w:t>
                </w:r>
              </w:p>
            </w:tc>
          </w:tr>
          <w:tr>
            <w:tc>
              <w:tcPr>
                <w:tcW w:type="dxa" w:w="2250"/>
                <w:tcBorders>
                  <w:top w:val="none" w:color="FFFFFF" w:sz="0"/>
                  <w:left w:val="none" w:color="FFFFFF" w:sz="0"/>
                  <w:bottom w:val="single" w:color="E5E7EB" w:sz="1"/>
                  <w:right w:val="none" w:color="FFFFFF" w:sz="0"/>
                </w:tcBorders>
                <w:shd w:fill="FFFFFF" w:val="clear"/>
                <w:tcMar>
                  <w:top w:type="dxa" w:w="70"/>
                  <w:left w:type="dxa" w:w="160"/>
                  <w:bottom w:type="dxa" w:w="70"/>
                  <w:right w:type="dxa" w:w="160"/>
                </w:tcMar>
              </w:tcPr>
              <w:p>
                <w:r>
                  <w:rPr>
                    <w:rFonts w:ascii="Arial" w:cs="Arial" w:eastAsia="Arial" w:hAnsi="Arial"/>
                    <w:color w:val="111827"/>
                    <w:sz w:val="19"/>
                    <w:szCs w:val="19"/>
                  </w:rPr>
                  <w:t xml:space="preserve">2 usuarios</w:t>
                </w:r>
              </w:p>
            </w:tc>
          </w:tr>
        </w:tbl>
        <w:tbl>
          <w:tblPr>
            <w:tblW w:type="dxa" w:w="2250"/>
            <w:tblBorders>
              <w:top w:val="single" w:color="auto" w:sz="4"/>
              <w:left w:val="single" w:color="auto" w:sz="4"/>
              <w:bottom w:val="single" w:color="auto" w:sz="4"/>
              <w:right w:val="single" w:color="auto" w:sz="4"/>
              <w:insideH w:val="single" w:color="auto" w:sz="4"/>
              <w:insideV w:val="single" w:color="auto" w:sz="4"/>
            </w:tblBorders>
          </w:tblPr>
          <w:tblGrid>
            <w:gridCol w:w="2250"/>
          </w:tblGrid>
          <w:tr>
            <w:tc>
              <w:tcPr>
                <w:tcW w:type="dxa" w:w="2250"/>
                <w:gridSpan w:val="1"/>
                <w:tcBorders>
                  <w:top w:val="none" w:color="FFFFFF" w:sz="0"/>
                  <w:left w:val="none" w:color="FFFFFF" w:sz="0"/>
                  <w:bottom w:val="none" w:color="FFFFFF" w:sz="0"/>
                  <w:right w:val="none" w:color="FFFFFF" w:sz="0"/>
                </w:tcBorders>
                <w:shd w:fill="7C3AED" w:val="clear"/>
                <w:tcMar>
                  <w:top w:type="dxa" w:w="120"/>
                  <w:left w:type="dxa" w:w="160"/>
                  <w:bottom w:type="dxa" w:w="120"/>
                  <w:right w:type="dxa" w:w="160"/>
                </w:tcMar>
              </w:tcPr>
              <w:p>
                <w:pPr>
                  <w:jc w:val="center"/>
                </w:pPr>
                <w:r>
                  <w:rPr>
                    <w:rFonts w:ascii="Arial" w:cs="Arial" w:eastAsia="Arial" w:hAnsi="Arial"/>
                    <w:b/>
                    <w:bCs/>
                    <w:color w:val="FFFFFF"/>
                    <w:sz w:val="22"/>
                    <w:szCs w:val="22"/>
                  </w:rPr>
                  <w:t xml:space="preserve">BUSINESS</w:t>
                </w:r>
              </w:p>
              <w:p>
                <w:pPr>
                  <w:spacing w:before="80"/>
                  <w:jc w:val="center"/>
                </w:pPr>
                <w:r>
                  <w:rPr>
                    <w:rFonts w:ascii="Arial" w:cs="Arial" w:eastAsia="Arial" w:hAnsi="Arial"/>
                    <w:b/>
                    <w:bCs/>
                    <w:color w:val="FFFFFF"/>
                    <w:sz w:val="32"/>
                    <w:szCs w:val="32"/>
                  </w:rPr>
                  <w:t xml:space="preserve">Bs. 499/mes</w:t>
                </w:r>
              </w:p>
            </w:tc>
          </w:tr>
          <w:tr>
            <w:tc>
              <w:tcPr>
                <w:tcW w:type="dxa" w:w="2250"/>
                <w:tcBorders>
                  <w:top w:val="none" w:color="FFFFFF" w:sz="0"/>
                  <w:left w:val="none" w:color="FFFFFF" w:sz="0"/>
                  <w:bottom w:val="single" w:color="E5E7EB" w:sz="1"/>
                  <w:right w:val="none" w:color="FFFFFF" w:sz="0"/>
                </w:tcBorders>
                <w:shd w:fill="FFFFFF" w:val="clear"/>
                <w:tcMar>
                  <w:top w:type="dxa" w:w="70"/>
                  <w:left w:type="dxa" w:w="160"/>
                  <w:bottom w:type="dxa" w:w="70"/>
                  <w:right w:type="dxa" w:w="160"/>
                </w:tcMar>
              </w:tcPr>
              <w:p>
                <w:r>
                  <w:rPr>
                    <w:rFonts w:ascii="Arial" w:cs="Arial" w:eastAsia="Arial" w:hAnsi="Arial"/>
                    <w:color w:val="111827"/>
                    <w:sz w:val="19"/>
                    <w:szCs w:val="19"/>
                  </w:rPr>
                  <w:t xml:space="preserve">Todo en Pro</w:t>
                </w:r>
              </w:p>
            </w:tc>
          </w:tr>
          <w:tr>
            <w:tc>
              <w:tcPr>
                <w:tcW w:type="dxa" w:w="2250"/>
                <w:tcBorders>
                  <w:top w:val="none" w:color="FFFFFF" w:sz="0"/>
                  <w:left w:val="none" w:color="FFFFFF" w:sz="0"/>
                  <w:bottom w:val="single" w:color="E5E7EB" w:sz="1"/>
                  <w:right w:val="none" w:color="FFFFFF" w:sz="0"/>
                </w:tcBorders>
                <w:shd w:fill="F9FAFB" w:val="clear"/>
                <w:tcMar>
                  <w:top w:type="dxa" w:w="70"/>
                  <w:left w:type="dxa" w:w="160"/>
                  <w:bottom w:type="dxa" w:w="70"/>
                  <w:right w:type="dxa" w:w="160"/>
                </w:tcMar>
              </w:tcPr>
              <w:p>
                <w:r>
                  <w:rPr>
                    <w:rFonts w:ascii="Arial" w:cs="Arial" w:eastAsia="Arial" w:hAnsi="Arial"/>
                    <w:color w:val="111827"/>
                    <w:sz w:val="19"/>
                    <w:szCs w:val="19"/>
                  </w:rPr>
                  <w:t xml:space="preserve">5 tiendas</w:t>
                </w:r>
              </w:p>
            </w:tc>
          </w:tr>
          <w:tr>
            <w:tc>
              <w:tcPr>
                <w:tcW w:type="dxa" w:w="2250"/>
                <w:tcBorders>
                  <w:top w:val="none" w:color="FFFFFF" w:sz="0"/>
                  <w:left w:val="none" w:color="FFFFFF" w:sz="0"/>
                  <w:bottom w:val="single" w:color="E5E7EB" w:sz="1"/>
                  <w:right w:val="none" w:color="FFFFFF" w:sz="0"/>
                </w:tcBorders>
                <w:shd w:fill="FFFFFF" w:val="clear"/>
                <w:tcMar>
                  <w:top w:type="dxa" w:w="70"/>
                  <w:left w:type="dxa" w:w="160"/>
                  <w:bottom w:type="dxa" w:w="70"/>
                  <w:right w:type="dxa" w:w="160"/>
                </w:tcMar>
              </w:tcPr>
              <w:p>
                <w:r>
                  <w:rPr>
                    <w:rFonts w:ascii="Arial" w:cs="Arial" w:eastAsia="Arial" w:hAnsi="Arial"/>
                    <w:color w:val="111827"/>
                    <w:sz w:val="19"/>
                    <w:szCs w:val="19"/>
                  </w:rPr>
                  <w:t xml:space="preserve">10 usuarios</w:t>
                </w:r>
              </w:p>
            </w:tc>
          </w:tr>
          <w:tr>
            <w:tc>
              <w:tcPr>
                <w:tcW w:type="dxa" w:w="2250"/>
                <w:tcBorders>
                  <w:top w:val="none" w:color="FFFFFF" w:sz="0"/>
                  <w:left w:val="none" w:color="FFFFFF" w:sz="0"/>
                  <w:bottom w:val="single" w:color="E5E7EB" w:sz="1"/>
                  <w:right w:val="none" w:color="FFFFFF" w:sz="0"/>
                </w:tcBorders>
                <w:shd w:fill="F9FAFB" w:val="clear"/>
                <w:tcMar>
                  <w:top w:type="dxa" w:w="70"/>
                  <w:left w:type="dxa" w:w="160"/>
                  <w:bottom w:type="dxa" w:w="70"/>
                  <w:right w:type="dxa" w:w="160"/>
                </w:tcMar>
              </w:tcPr>
              <w:p>
                <w:r>
                  <w:rPr>
                    <w:rFonts w:ascii="Arial" w:cs="Arial" w:eastAsia="Arial" w:hAnsi="Arial"/>
                    <w:color w:val="111827"/>
                    <w:sz w:val="19"/>
                    <w:szCs w:val="19"/>
                  </w:rPr>
                  <w:t xml:space="preserve">API acceso</w:t>
                </w:r>
              </w:p>
            </w:tc>
          </w:tr>
          <w:tr>
            <w:tc>
              <w:tcPr>
                <w:tcW w:type="dxa" w:w="2250"/>
                <w:tcBorders>
                  <w:top w:val="none" w:color="FFFFFF" w:sz="0"/>
                  <w:left w:val="none" w:color="FFFFFF" w:sz="0"/>
                  <w:bottom w:val="single" w:color="E5E7EB" w:sz="1"/>
                  <w:right w:val="none" w:color="FFFFFF" w:sz="0"/>
                </w:tcBorders>
                <w:shd w:fill="FFFFFF" w:val="clear"/>
                <w:tcMar>
                  <w:top w:type="dxa" w:w="70"/>
                  <w:left w:type="dxa" w:w="160"/>
                  <w:bottom w:type="dxa" w:w="70"/>
                  <w:right w:type="dxa" w:w="160"/>
                </w:tcMar>
              </w:tcPr>
              <w:p>
                <w:r>
                  <w:rPr>
                    <w:rFonts w:ascii="Arial" w:cs="Arial" w:eastAsia="Arial" w:hAnsi="Arial"/>
                    <w:color w:val="111827"/>
                    <w:sz w:val="19"/>
                    <w:szCs w:val="19"/>
                  </w:rPr>
                  <w:t xml:space="preserve">Reportes auto</w:t>
                </w:r>
              </w:p>
            </w:tc>
          </w:tr>
          <w:tr>
            <w:tc>
              <w:tcPr>
                <w:tcW w:type="dxa" w:w="2250"/>
                <w:tcBorders>
                  <w:top w:val="none" w:color="FFFFFF" w:sz="0"/>
                  <w:left w:val="none" w:color="FFFFFF" w:sz="0"/>
                  <w:bottom w:val="single" w:color="E5E7EB" w:sz="1"/>
                  <w:right w:val="none" w:color="FFFFFF" w:sz="0"/>
                </w:tcBorders>
                <w:shd w:fill="F9FAFB" w:val="clear"/>
                <w:tcMar>
                  <w:top w:type="dxa" w:w="70"/>
                  <w:left w:type="dxa" w:w="160"/>
                  <w:bottom w:type="dxa" w:w="70"/>
                  <w:right w:type="dxa" w:w="160"/>
                </w:tcMar>
              </w:tcPr>
              <w:p>
                <w:r>
                  <w:rPr>
                    <w:rFonts w:ascii="Arial" w:cs="Arial" w:eastAsia="Arial" w:hAnsi="Arial"/>
                    <w:color w:val="111827"/>
                    <w:sz w:val="19"/>
                    <w:szCs w:val="19"/>
                  </w:rPr>
                  <w:t xml:space="preserve">Soporte prioritario</w:t>
                </w:r>
              </w:p>
            </w:tc>
          </w:tr>
          <w:tr>
            <w:tc>
              <w:tcPr>
                <w:tcW w:type="dxa" w:w="2250"/>
                <w:tcBorders>
                  <w:top w:val="none" w:color="FFFFFF" w:sz="0"/>
                  <w:left w:val="none" w:color="FFFFFF" w:sz="0"/>
                  <w:bottom w:val="single" w:color="E5E7EB" w:sz="1"/>
                  <w:right w:val="none" w:color="FFFFFF" w:sz="0"/>
                </w:tcBorders>
                <w:shd w:fill="FFFFFF" w:val="clear"/>
                <w:tcMar>
                  <w:top w:type="dxa" w:w="70"/>
                  <w:left w:type="dxa" w:w="160"/>
                  <w:bottom w:type="dxa" w:w="70"/>
                  <w:right w:type="dxa" w:w="160"/>
                </w:tcMar>
              </w:tcPr>
              <w:p>
                <w:r>
                  <w:rPr>
                    <w:rFonts w:ascii="Arial" w:cs="Arial" w:eastAsia="Arial" w:hAnsi="Arial"/>
                    <w:color w:val="111827"/>
                    <w:sz w:val="19"/>
                    <w:szCs w:val="19"/>
                  </w:rPr>
                  <w:t xml:space="preserve">Onboarding dedicado</w:t>
                </w:r>
              </w:p>
            </w:tc>
          </w:tr>
        </w:tbl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3.2 Unit Economics — El Corazón del Negocio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Los unit economics son las métricas que determinan si el modelo de negocio es matemáticamente sostenible. Todos los cálculos son conservadores.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680"/>
        <w:gridCol w:w="22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Fórmula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Calculado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Interpretación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ARPU (Ingreso medio por usuario)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Mix ponderado de planes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199/mes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40% Starter + 50% Pro + 10% Business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CAC (Costo de adquisición)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Gasto marketing / nuevos clientes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190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Incluye TikTok Ads + tiempo de ventas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Churn Rate Mensual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Clientes que cancelan / total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6%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Estimado conservador para mercado boliviano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LTV (Lifetime Value)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ARPU / Churn Rate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3,317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= Bs. 199 / 0.06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LTV/CAC Ratio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LTV / CAC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17.5x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Meta industria: &gt;3x. &gt;10x = excelente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Payback Period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CAC / ARPU mensual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~1 mes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190 / Bs. 199 = 0.95 meses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Gross Margin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(MRR - Costos variables) / MRR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~85%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Costos variables: hosting, APIs, soporte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Margen Neto (mes 12)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(MRR - Costos totales) / MRR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~38%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 232 clientes pagantes y Bs. 25k costos fijos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⚠️ Por qué el Churn es la métrica más importante: con 6% de churn mensual, el cliente promedio dura 1/0.06 = 16.7 meses. Si el churn sube a 10%, el LTV cae a Bs. 1,990 y el LTV/CAC a 10.5x — aún saludable. Si baja a 4%, el LTV sube a Bs. 4,975 y el negocio se vuelve excepcional. Reducir el churn es la palanca más poderosa del negocio.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3.3 Estructura de Costos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1680"/>
        <w:gridCol w:w="188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 Mensual (Bs.)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Escala con clientes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Salarios (2 devs + 1 PO part-time)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15,000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Fijo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 (hasta 500 clientes)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Infraestructura (Railway Pro + Redis)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500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Semi-fijo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Sí (cada 500 clientes +Bs. 300)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Cloudinary (imágenes productos)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200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Variable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Sí (por almacenamiento)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Gemini API (IA parsing)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150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Variable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Sí (por llamadas)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Groq API (chat en tiempo real)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Gratuito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Hasta límite free tier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Twilio WhatsApp (confirmaciones)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400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Variable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Sí (por mensaje enviado)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TikTok / Meta Ads (marketing)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1,500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Semi-fijo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Aumentar con crecimiento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Legal, contabilidad, NIT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800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Fijo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Herramientas (GitHub, Slack, Notion)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200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Fijo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TOTAL MES 1-3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~18,750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TOTAL MES 6+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~21,000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 mayor volumen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3.4 Proyección Financiera 12 Meses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Escenario base conservador. Asume 25-30 nuevos clientes free/mes y conversión free→pago del 15%.</w:t>
      </w:r>
    </w:p>
    <w:p>
      <w:pPr>
        <w:spacing w:before="100" w:after="100"/>
      </w:pPr>
      <w:r>
        <w:t xml:space="preserve"/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80"/>
        <w:gridCol w:w="1680"/>
        <w:gridCol w:w="1600"/>
        <w:gridCol w:w="2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Pagan (total)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MRR (Bs.)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Costos (Bs.)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(Bs.)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Acumulado (Bs.)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Mar 2026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418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21,500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(21,082)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(21,082)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Abr 2026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1,254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21,600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(20,346)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(41,428)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May 2026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3,227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21,800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(18,573)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(60,001)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Jun 2026 (Beta)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34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5,618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22,100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(16,482)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(76,483)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Jul 2026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53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8,867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22,500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(13,633)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(90,116)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Ago 2026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77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13,633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23,000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(9,367)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(99,483)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Sep 2026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102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17,933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23,500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(5,567)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(105,050)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Oct 2026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127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22,275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24,000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(1,725)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(106,775)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Nov 2026 🎯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149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26,013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24,200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+1,813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(104,962)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Dic 2026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176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30,878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24,500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+6,378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(98,584)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Ene 2027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205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34,784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25,000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+9,784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(88,800)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Feb 2027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232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39,987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25,500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+14,487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(74,313)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8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🎯 Break-even operativo: Noviembre 2026 (mes 9) con 149 clientes pagantes activos y MRR de Bs. 26,013. La inversión total acumulada de Bs. ~112,000 se recupera completamente aproximadamente en el mes 20-22, asumiendo que el crecimiento se mantiene post break-even.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3.5 Fuentes de Ingreso Diversificadas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80"/>
        <w:gridCol w:w="1680"/>
        <w:gridCol w:w="30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del MRR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Bs. mes 12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Suscripciones SaaS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65%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25,991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Planes mensuales y anuales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Comisión transacciones (0.5%)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20%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7,997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Sobre pagos procesados vía la plataforma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Servicios profesionales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10%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3,999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Setup, migración catálogo, capacitación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Enterprise / API acceso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5%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2,000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Agencias y clientes custom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TOTAL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100%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39,987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MRR proyectado mes 12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3.6 Descuento Anual — Estrategia de Flujo de Caja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Ofrecer pago anual con descuento del 20% (equivalente a 2 meses gratis) tiene dos beneficios críticos: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Para nosotros: cobro adelantado mejora el flujo de caja y reduce churn a ~2% anual (vs 6% mensual en pago mensual)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Para el cliente: ahorro real y compromiso con la herramienta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2200"/>
        <w:gridCol w:w="1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Mensual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Anual (20% desc.)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Ahorro cliente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Ingreso adelantado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99/mes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950/año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238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950 en enero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220/mes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2,112/año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528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2,112 en enero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Business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499/mes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4,790/año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1,198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4,790 en enero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8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Meta de pago anual: lograr que el 30% de los clientes paguen anual. Esto reduce el churn real del portafolio a ~4.2% mensual efectivo y genera un bolo de caja en enero/renovaciones que permite invertir más en marketing.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3.7 Escenarios — Análisis de Sensibilidad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800"/>
        <w:gridCol w:w="1600"/>
        <w:gridCol w:w="17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Supuesto clave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MRR mes 12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Break-even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Rentabilidad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Pesimista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Churn 10%, conv. Free→Pago 8%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21,000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Mes 14-15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-4,000/mes aún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Base (este plan)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Churn 6%, conv. 15%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39,987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Mes 9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+14,487/mes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Optimista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Churn 4%, conv. 20%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58,000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Mes 7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+33,000/mes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Viral (referidos)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Churn 3%, conv. 25%, boca a boca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85,000+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Mes 6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60,000+/mes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4. OBJETIVOS ESTRATÉGICOS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0E4DA4"/>
          <w:sz w:val="32"/>
          <w:szCs w:val="32"/>
        </w:rPr>
        <w:t xml:space="preserve">Objetivos Estratégicos — OKR Framework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4.1 Objetivo Norte: La Estrella Polar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8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NORTH STAR METRIC: Número de pedidos procesados por la plataforma por mes. Esta métrica captura el valor real entregado a vendedores y compradores, crece cuando los vendedores usan más el producto, y correlaciona directamente con el MRR. Meta año 1: 50,000 pedidos/mes procesados.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4.2 OKRs por Horizonte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1200"/>
        <w:gridCol w:w="1680"/>
        <w:gridCol w:w="188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Result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 límite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O1: MVP técnico funcional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KR1.1: Deploy en Railway con uptime ≥95%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95%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14/03/2026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DevOps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KR1.2: API P95 &lt; 500ms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500ms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14/03/2026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KR1.3: Cobertura tests ≥80%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80%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14/03/2026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Dev Team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O2: Validar product-market fit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KR2.1: 5 vendedores completan live en plataforma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 vendedores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30/04/2026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KR2.2: IA parsea ≥85% de pedidos correctamente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85%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30/04/2026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 Dev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KR2.3: NPS usuarios beta ≥30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NPS 30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30/04/2026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O3: Primeros ingresos reales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KR3.1: 10 suscriptores pagos activos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 clientes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31/05/2026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PO+BD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KR3.2: MRR ≥ Bs. 2,000 al finalizar Sprint 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2,000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31/05/2026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O4: Retención saludable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KR4.1: Churn mensual &lt; 8% primeros 3 meses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&lt;8%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30/06/2026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KR4.2: Tiempo resolución soporte &lt; 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 horas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30/06/2026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Soporte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O5: Break-even operativo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KR5.1: MRR &gt; Costos fijos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24,000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30/11/2026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CEO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KR5.2: 150 clientes pagantes activos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150 clientes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30/11/2026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4.3 Roadmap Estratégico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200"/>
        <w:gridCol w:w="25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 clave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Fase 0: Fundación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Mar → Abr 2026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Setup técnico, auth, catálogo, primeros betas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 vendedores usando la plataforma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Fase 1: Core del live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May → Jun 2026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WebSocket, IA parsing, live completo end-to-end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 lives reales completados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Fase 2: Monetización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Jul → Sep 2026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Pagos bolivianos, WhatsApp, primeros Bs. cobrando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10,000+ MRR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Fase 3: Break-even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Oct → Nov 2026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Crecimiento activo, referidos, contenido en TikTok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26,000+ MRR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Fase 4: Escala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Dic 2026+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Expansión LPZ y CBB, plan Business, API pública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Bs. 40,000+ MRR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5. ESTRUCTURA DJANGO — DECISIONES TÉCNICAS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0E4DA4"/>
          <w:sz w:val="32"/>
          <w:szCs w:val="32"/>
        </w:rPr>
        <w:t xml:space="preserve">Estructura Django — Decisiones Técnicas Clave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5.1 Principios de Arquitectura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Un problema, una app: cada app Django tiene una responsabilidad única y clara. Nunca mezclar lógica de pedidos en la app de transmisiones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BaseModel UUID en todos los modelos: evita enumeration attacks y permite migrar entre bases de datos sin conflictos de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ASGI desde el día uno: Django Channels requiere ASGI. Configurarlo desde el inicio evita deuda técnica dolorosa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Celery para todo lo asíncrono: envío de WhatsApp, resúmenes post-live, emails. Nunca bloquear el request-response cycle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Tests antes de PR: definir el flujo de CI/CD desde el Sprint 1 para que la cultura de calidad sea parte del proyecto desde el inicio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5.2 Decisiones Técnicas Justificadas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Alternativa rechazada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 qué esta elección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PostgreSQL como BD principal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MySQL / MongoDB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JSONB fields para metadata, mejor soporte en Django, Railway lo provee gratis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Redis para Channel Layer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In-memory / RabbitMQ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Railway lo provee, necesario para WebSockets, también sirve como cache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 como PK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Auto-incremental integer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Seguridad: no expone conteo de registros. Permite sharding futuro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Django Channels (async)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Socket.IO (Node.js)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Mantiene el stack en Python, integración natural con Django ORM y auth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Celery para tareas async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Django-Q / APScheduler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Más maduro, mejor documentación, Workers separados en Railway sin costo extra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Gemini 1.5 Flash (gratuito)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GPT-4 / Claude API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1,500 req/día gratuitas, suficiente para MVP. Fallback a Groq también gratis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Railway para deploy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AWS / GCP / DigitalOcean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Sin tarjeta de crédito obligatoria, free tier generoso, PostgreSQL + Redis incluido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JWT para auth API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Session-based auth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Necesario para Angular SPA y futura app móvil. SimpleJWT es el estándar DRF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5.3 Apps y Modelos — Resumen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Modelos principales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4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vendors/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User, Store, Subscription, StoreProfile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Usuarios, tiendas, planes y facturación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products/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Product, ProductVariant, Category, ProductImage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Catálogo de productos con variaciones y stock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streams/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LiveStream, StreamProduct, ChatMessage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Transmisiones y mensajes del chat en vivo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orders/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Order, OrderItem, OrderStatusLog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Pedidos, items y trazabilidad de estados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payments/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Payment, TigoMoneyTx, BankQR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Procesamiento de pagos bolivianos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notifications/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Notification, NotificationLog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WhatsApp, FCM, email — registro completo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E4DA4"/>
          <w:sz w:val="26"/>
          <w:szCs w:val="26"/>
        </w:rPr>
        <w:t xml:space="preserve">5.4 Permisos y Seguridad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IsStoreOwner: solo el dueño de la tienda puede modificar sus datos. Nunca confiar en el user_id del request body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IsActiveSubscription: middleware que verifica que la suscripción esté activa antes de permitir crear lives o pedidos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Rate limiting: django-ratelimit en endpoints de parseo IA y generación de QR para evitar abuso del free tier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Webhook signing: verificar firma HMAC en webhooks de Tigo Money y Banco Unión para evitar inyección de pagos falsos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CORS configurado estrictamente: solo permitir el dominio del frontend Angular en producción</w:t>
      </w:r>
    </w:p>
    <w:p>
      <w:pPr>
        <w:spacing w:before="100" w:after="100"/>
      </w:pPr>
      <w:r>
        <w:t xml:space="preserve"/>
      </w:r>
    </w:p>
    <w:p>
      <w:pPr>
        <w:spacing w:before="600" w:after="2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— Fin del Documento —</w:t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LiveShop Bolivia © 2026 — Business Plan v1.0 — Confidencial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DB" w:sz="4" w:space="6"/>
      </w:pBdr>
      <w:jc w:val="center"/>
    </w:pPr>
    <w:r>
      <w:rPr>
        <w:rFonts w:ascii="Arial" w:cs="Arial" w:eastAsia="Arial" w:hAnsi="Arial"/>
        <w:color w:val="9CA3AF"/>
        <w:sz w:val="17"/>
        <w:szCs w:val="17"/>
      </w:rPr>
      <w:t xml:space="preserve">Confidencial — LiveShop Bolivia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6"/>
      </w:pBdr>
    </w:pPr>
    <w:r>
      <w:rPr>
        <w:rFonts w:ascii="Arial" w:cs="Arial" w:eastAsia="Arial" w:hAnsi="Arial"/>
        <w:color w:val="6B7280"/>
        <w:sz w:val="17"/>
        <w:szCs w:val="17"/>
      </w:rPr>
      <w:t xml:space="preserve">LiveShop Bolivia — Business Plan &amp; Modelo Financiero v1.0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E4DA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E4DA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2026-02-20T18:30:43.756Z</dcterms:created>
  <dcterms:modified xsi:type="dcterms:W3CDTF">2026-02-20T18:30:43.757Z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