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ai-assisted-sdlc-implementation-spec"/>
    <w:p>
      <w:pPr>
        <w:pStyle w:val="Heading1"/>
      </w:pPr>
      <w:r>
        <w:t xml:space="preserve">AI-Assisted SDLC — Implementation Spec</w:t>
      </w:r>
    </w:p>
    <w:p>
      <w:pPr>
        <w:pStyle w:val="FirstParagraph"/>
      </w:pPr>
      <w:r>
        <w:rPr>
          <w:bCs/>
          <w:b/>
        </w:rPr>
        <w:t xml:space="preserve">Pattern:</w:t>
      </w:r>
      <w:r>
        <w:t xml:space="preserve"> </w:t>
      </w:r>
      <w:r>
        <w:t xml:space="preserve">Claude Code agents own requirements, design, build, and deploy. Codex acts as an independent review gate on every artifact. Named humans hold the decision rights.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(draft)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repository, single delivery team (pilot scope)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spec describes how to run a software delivery lifecycle in which generative agents produce the work product at each phase and a structurally independent agent reviews it before the phase can close.</w:t>
      </w:r>
    </w:p>
    <w:p>
      <w:pPr>
        <w:pStyle w:val="BodyText"/>
      </w:pPr>
      <w:r>
        <w:rPr>
          <w:bCs/>
          <w:b/>
        </w:rPr>
        <w:t xml:space="preserve">In scope:</w:t>
      </w:r>
      <w:r>
        <w:t xml:space="preserve"> </w:t>
      </w:r>
      <w:r>
        <w:t xml:space="preserve">requirements, design, build, and deploy-plan generation; automated review; evidence capture; human gate placement.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the CI/CD system itself, production infrastructure, incident response, and model procurement. This spec assumes deterministic pipelines already exist and that agents feed them rather than replace them.</w:t>
      </w:r>
    </w:p>
    <w:bookmarkStart w:id="20" w:name="why-this-shape"/>
    <w:p>
      <w:pPr>
        <w:pStyle w:val="Heading3"/>
      </w:pPr>
      <w:r>
        <w:t xml:space="preserve">1.1 Why this shape</w:t>
      </w:r>
    </w:p>
    <w:p>
      <w:pPr>
        <w:pStyle w:val="FirstParagraph"/>
      </w:pPr>
      <w:r>
        <w:t xml:space="preserve">The phase list is unchanged from a conventional SDLC. What changed is the cost curve: producing code became inexpensive, while specifying and verifying it did not. Three consequences drive every design decision below.</w:t>
      </w:r>
    </w:p>
    <w:p>
      <w:pPr>
        <w:numPr>
          <w:ilvl w:val="0"/>
          <w:numId w:val="1001"/>
        </w:numPr>
        <w:pStyle w:val="Compact"/>
      </w:pPr>
      <w:r>
        <w:t xml:space="preserve">A defective requirements artifact now propagates into a large volume of code within minutes. Correction has to happen at the left of the pipeline, not at code review.</w:t>
      </w:r>
    </w:p>
    <w:p>
      <w:pPr>
        <w:numPr>
          <w:ilvl w:val="0"/>
          <w:numId w:val="1001"/>
        </w:numPr>
        <w:pStyle w:val="Compact"/>
      </w:pPr>
      <w:r>
        <w:t xml:space="preserve">A model reviewing its own output shares its blind spots and its rationalisations. Review independence must be structural, not procedural.</w:t>
      </w:r>
    </w:p>
    <w:p>
      <w:pPr>
        <w:numPr>
          <w:ilvl w:val="0"/>
          <w:numId w:val="1001"/>
        </w:numPr>
        <w:pStyle w:val="Compact"/>
      </w:pPr>
      <w:r>
        <w:t xml:space="preserve">Human attention is the scarcest input. It is spent on specifications and designs, where a change is cheap, rather than on line-by-line inspection of generated diffs.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nciples"/>
    <w:p>
      <w:pPr>
        <w:pStyle w:val="Heading2"/>
      </w:pPr>
      <w:r>
        <w:t xml:space="preserve">2.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never approves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that produced an artifact cannot issue its verdict. Enforced by vendor separation, not by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 are the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phase emits a versioned file committed to the repository. Conversation transcripts are evidence, never the deliverable.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shift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sign-off is mandatory at requirements and design. Build and deploy gates may be automated with human exception handling.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propose, pipelines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agent holds production credentials. Deploy agents write plans; the existing CD system applies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phase is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prompt version, artifact hash, reviewer verdict, and human approver are recorded per phase transition.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is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review gate has a defined hard-fail set. A gate that cannot block is a linting step, not a control.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pipeline-overview"/>
    <w:p>
      <w:pPr>
        <w:pStyle w:val="Heading2"/>
      </w:pPr>
      <w:r>
        <w:t xml:space="preserve">3. Pipeline overview</w:t>
      </w:r>
    </w:p>
    <w:p>
      <w:pPr>
        <w:pStyle w:val="CaptionedFigure"/>
      </w:pPr>
      <w:r>
        <w:drawing>
          <wp:inline>
            <wp:extent cx="5334000" cy="3313545"/>
            <wp:effectExtent b="0" l="0" r="0" t="0"/>
            <wp:docPr descr="Pipeline overview: four Claude phases feeding a Codex review gate and human sign-off" title="" id="24" name="Picture"/>
            <a:graphic>
              <a:graphicData uri="http://schemas.openxmlformats.org/drawingml/2006/picture">
                <pic:pic>
                  <pic:nvPicPr>
                    <pic:cNvPr descr="/mnt/user-data/outputs/diagrams/pipeline-overvie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overview: four Claude phases feeding a Codex review gate and human sign-off</w:t>
      </w:r>
    </w:p>
    <w:p>
      <w:pPr>
        <w:pStyle w:val="BodyText"/>
      </w:pPr>
      <w:r>
        <w:rPr>
          <w:bCs/>
          <w:b/>
        </w:rPr>
        <w:t xml:space="preserve">Reading it.</w:t>
      </w:r>
      <w:r>
        <w:t xml:space="preserve"> </w:t>
      </w:r>
      <w:r>
        <w:t xml:space="preserve">Each phase produces exactly one artifact and stops. The gate reads that artifact and its declared upstream inputs — never the session that produced them. Signature lines sit between phases, not at the end.</w:t>
      </w:r>
    </w:p>
    <w:p>
      <w:r>
        <w:pict>
          <v:rect style="width:0;height:1.5pt" o:hralign="center" o:hrstd="t" o:hr="t"/>
        </w:pict>
      </w:r>
    </w:p>
    <w:bookmarkEnd w:id="26"/>
    <w:bookmarkStart w:id="29" w:name="roles"/>
    <w:p>
      <w:pPr>
        <w:pStyle w:val="Heading2"/>
      </w:pPr>
      <w:r>
        <w:t xml:space="preserve">4. Roles</w:t>
      </w:r>
    </w:p>
    <w:bookmarkStart w:id="27" w:name="agents"/>
    <w:p>
      <w:pPr>
        <w:pStyle w:val="Heading3"/>
      </w:pPr>
      <w:r>
        <w:t xml:space="preserve">4.1 Agents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the phase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has unresolved ambiguity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docs/design/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contradicts an approved spec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fail or coverage gate unmet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lacks a rollback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Codex, non-interactive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reviews/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§8</w:t>
            </w:r>
          </w:p>
        </w:tc>
      </w:tr>
    </w:tbl>
    <w:p>
      <w:pPr>
        <w:pStyle w:val="BodyText"/>
      </w:pPr>
      <w:r>
        <w:t xml:space="preserve">The review gate deliberately runs on a different vendor’s model. If that is not procurement-viable, the fallback is a different model family from the same vendor with a distinct system prompt and no access to the authoring session’s context — a weaker control that must be recorded as a known limitation.</w:t>
      </w:r>
    </w:p>
    <w:bookmarkEnd w:id="27"/>
    <w:bookmarkStart w:id="28" w:name="humans"/>
    <w:p>
      <w:pPr>
        <w:pStyle w:val="Heading3"/>
      </w:pPr>
      <w:r>
        <w:t xml:space="preserve">4.2 Humans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the requirements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R-gate (mandatory)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the design and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D-gate (mandatory)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Reviewing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Merges the PR; owns the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B-gate (mandatory)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Authorises the release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Dep-gate (mandatory for production)</w:t>
            </w:r>
          </w:p>
        </w:tc>
      </w:tr>
    </w:tbl>
    <w:p>
      <w:pPr>
        <w:pStyle w:val="BodyText"/>
      </w:pPr>
      <w:r>
        <w:t xml:space="preserve">No gate may be satisfied by an agent verdict alone. The verdict is an input to the human decision.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tifact-contract"/>
    <w:p>
      <w:pPr>
        <w:pStyle w:val="Heading2"/>
      </w:pPr>
      <w:r>
        <w:t xml:space="preserve">5. Artifact contract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docs/specs/&lt;ticket&gt;.md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Markdown, fixed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docs/design/&lt;ticket&gt;-adr.md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Markdown, ADR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docs/design/&lt;ticket&gt;-api.yaml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/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feat/&lt;ticket&gt;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deploy/&lt;ticket&gt;-release.md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Markdown, fixed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reviews/&lt;ticket&gt;-&lt;phase&gt;.json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see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gate</w:t>
            </w:r>
          </w:p>
        </w:tc>
      </w:tr>
    </w:tbl>
    <w:p>
      <w:pPr>
        <w:pStyle w:val="BodyText"/>
      </w:pPr>
      <w:r>
        <w:t xml:space="preserve">Every artifact carries front-matter recording ticket ID, phase, generating model, prompt version, and upstream artifact hash. A phase agent that cannot resolve its upstream artifact hash must halt rather than proceed on a stale input.</w:t>
      </w:r>
    </w:p>
    <w:p>
      <w:r>
        <w:pict>
          <v:rect style="width:0;height:1.5pt" o:hralign="center" o:hrstd="t" o:hr="t"/>
        </w:pict>
      </w:r>
    </w:p>
    <w:bookmarkEnd w:id="30"/>
    <w:bookmarkStart w:id="31" w:name="repository-layout"/>
    <w:p>
      <w:pPr>
        <w:pStyle w:val="Heading2"/>
      </w:pPr>
      <w:r>
        <w:t xml:space="preserve">6. Repository layout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│   ├── agents/              # subagent definitions per phase</w:t>
      </w:r>
      <w:r>
        <w:br/>
      </w:r>
      <w:r>
        <w:rPr>
          <w:rStyle w:val="VerbatimChar"/>
        </w:rPr>
        <w:t xml:space="preserve">│   ├── settings.json        # permissions, hooks</w:t>
      </w:r>
      <w:r>
        <w:br/>
      </w:r>
      <w:r>
        <w:rPr>
          <w:rStyle w:val="VerbatimChar"/>
        </w:rPr>
        <w:t xml:space="preserve">│   └── prompts/             # versioned phase prompts</w:t>
      </w:r>
      <w:r>
        <w:br/>
      </w:r>
      <w:r>
        <w:rPr>
          <w:rStyle w:val="VerbatimChar"/>
        </w:rPr>
        <w:t xml:space="preserve">├── .codex/</w:t>
      </w:r>
      <w:r>
        <w:br/>
      </w:r>
      <w:r>
        <w:rPr>
          <w:rStyle w:val="VerbatimChar"/>
        </w:rPr>
        <w:t xml:space="preserve">│   └── config.toml          # ci profile, MCP servers</w:t>
      </w:r>
      <w:r>
        <w:br/>
      </w:r>
      <w:r>
        <w:rPr>
          <w:rStyle w:val="VerbatimChar"/>
        </w:rPr>
        <w:t xml:space="preserve">├── .mcp.json                # MCP servers for the Claude lane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specs/</w:t>
      </w:r>
      <w:r>
        <w:br/>
      </w:r>
      <w:r>
        <w:rPr>
          <w:rStyle w:val="VerbatimChar"/>
        </w:rPr>
        <w:t xml:space="preserve">│   └── design/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├── reviews/                 # verdicts, committed as evidence</w:t>
      </w:r>
      <w:r>
        <w:br/>
      </w:r>
      <w:r>
        <w:rPr>
          <w:rStyle w:val="VerbatimChar"/>
        </w:rPr>
        <w:t xml:space="preserve">├── rubrics/                 # review criteria per artifact type</w:t>
      </w:r>
      <w:r>
        <w:br/>
      </w:r>
      <w:r>
        <w:rPr>
          <w:rStyle w:val="VerbatimChar"/>
        </w:rPr>
        <w:t xml:space="preserve">└── src/, tests/</w:t>
      </w:r>
    </w:p>
    <w:p>
      <w:pPr>
        <w:pStyle w:val="FirstParagraph"/>
      </w:pPr>
      <w:r>
        <w:t xml:space="preserve">Prompts, rubrics, and agent definitions are version-controlled and reviewed like code. A change to a rubric is a change to a control and follows the same approval path as a change to CI configuration.</w:t>
      </w:r>
    </w:p>
    <w:p>
      <w:r>
        <w:pict>
          <v:rect style="width:0;height:1.5pt" o:hralign="center" o:hrstd="t" o:hr="t"/>
        </w:pict>
      </w:r>
    </w:p>
    <w:bookmarkEnd w:id="31"/>
    <w:bookmarkStart w:id="36" w:name="phase-specifications"/>
    <w:p>
      <w:pPr>
        <w:pStyle w:val="Heading2"/>
      </w:pPr>
      <w:r>
        <w:t xml:space="preserve">7. Phase specifications</w:t>
      </w:r>
    </w:p>
    <w:p>
      <w:pPr>
        <w:pStyle w:val="FirstParagraph"/>
      </w:pPr>
      <w:r>
        <w:t xml:space="preserve">Each phase runs headless in an isolated git worktree so that a failed phase leaves no partial state on a shared checkout.</w:t>
      </w:r>
    </w:p>
    <w:bookmarkStart w:id="32" w:name="requirements"/>
    <w:p>
      <w:pPr>
        <w:pStyle w:val="Heading3"/>
      </w:pPr>
      <w:r>
        <w:t xml:space="preserve">7.1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ticket labelled</w:t>
      </w:r>
      <w:r>
        <w:t xml:space="preserve"> </w:t>
      </w:r>
      <w:r>
        <w:rPr>
          <w:rStyle w:val="VerbatimChar"/>
        </w:rPr>
        <w:t xml:space="preserve">ai-sdlc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ticket title, body, linked discussion, and the repository’s existing specs for context.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Tools:</w:t>
      </w:r>
      <w:r>
        <w:t xml:space="preserve"> </w:t>
      </w:r>
      <w:r>
        <w:t xml:space="preserve">read-only on the repository; issue-tracker MCP server; no write access outside</w:t>
      </w:r>
      <w:r>
        <w:t xml:space="preserve"> </w:t>
      </w:r>
      <w:r>
        <w:rPr>
          <w:rStyle w:val="VerbatimChar"/>
        </w:rPr>
        <w:t xml:space="preserve">docs/specs/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specification containing problem statement, in-scope and out-of-scope lists, functional requirements as testable statements, non-functional requirements, acceptance criteria, and an explicit open-questions section.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every requirement is individually testable; the open-questions section is empty or the phase halts and requests human input.</w:t>
      </w:r>
    </w:p>
    <w:p>
      <w:pPr>
        <w:pStyle w:val="FirstParagraph"/>
      </w:pPr>
      <w:r>
        <w:t xml:space="preserve">The requirements agent must be instructed to prefer halting over inventing. Fabricated acceptance criteria are the single highest-cost defect class in this pipeline, because everything downstream treats them as ground truth.</w:t>
      </w:r>
    </w:p>
    <w:bookmarkEnd w:id="32"/>
    <w:bookmarkStart w:id="33" w:name="design"/>
    <w:p>
      <w:pPr>
        <w:pStyle w:val="Heading3"/>
      </w:pPr>
      <w:r>
        <w:t xml:space="preserve">7.2 Design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requirements artifact approved at the R-gate.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approved spec, existing ADRs, current interface definitions.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Tools:</w:t>
      </w:r>
      <w:r>
        <w:t xml:space="preserve"> </w:t>
      </w:r>
      <w:r>
        <w:t xml:space="preserve">read-only repository; documentation MCP servers; write access to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an ADR stating the decision, the alternatives considered, and the consequences; plus machine-readable interface definitions.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every functional requirement maps to at least one design element; every interface change is backward-compatible or carries a documented migration.</w:t>
      </w:r>
    </w:p>
    <w:bookmarkEnd w:id="33"/>
    <w:bookmarkStart w:id="34" w:name="build"/>
    <w:p>
      <w:pPr>
        <w:pStyle w:val="Heading3"/>
      </w:pPr>
      <w:r>
        <w:t xml:space="preserve">7.3 Build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design approved at the D-gate.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approved spec and ADR, interface definitions.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Tools:</w:t>
      </w:r>
      <w:r>
        <w:t xml:space="preserve"> </w:t>
      </w:r>
      <w:r>
        <w:t xml:space="preserve">full workspace write within the worktree; test execution; no network egress beyond declared MCP servers and package registries.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branch and a draft pull request linking the spec and ADR.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the test suite passes; new code carries tests that map to named acceptance criteria; no interface drift from the approved contract.</w:t>
      </w:r>
    </w:p>
    <w:p>
      <w:pPr>
        <w:pStyle w:val="FirstParagraph"/>
      </w:pPr>
      <w:r>
        <w:t xml:space="preserve">Interface drift is checked mechanically by diffing the generated implementation against</w:t>
      </w:r>
      <w:r>
        <w:t xml:space="preserve"> </w:t>
      </w:r>
      <w:r>
        <w:rPr>
          <w:rStyle w:val="VerbatimChar"/>
        </w:rPr>
        <w:t xml:space="preserve">docs/design/&lt;ticket&gt;-api.yaml</w:t>
      </w:r>
      <w:r>
        <w:t xml:space="preserve">. This check is deterministic and is not delegated to a model.</w:t>
      </w:r>
    </w:p>
    <w:bookmarkEnd w:id="34"/>
    <w:bookmarkStart w:id="35" w:name="deploy"/>
    <w:p>
      <w:pPr>
        <w:pStyle w:val="Heading3"/>
      </w:pPr>
      <w:r>
        <w:t xml:space="preserve">7.4 Deploy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pull request merged.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merged diff, release history, environment inventory.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Tools:</w:t>
      </w:r>
      <w:r>
        <w:t xml:space="preserve"> </w:t>
      </w:r>
      <w:r>
        <w:t xml:space="preserve">read-only repository and environment metadata; write access to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only.</w:t>
      </w:r>
      <w:r>
        <w:t xml:space="preserve"> </w:t>
      </w:r>
      <w:r>
        <w:rPr>
          <w:bCs/>
          <w:b/>
        </w:rPr>
        <w:t xml:space="preserve">No production credentials under any configuration.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release plan stating sequence, pre-flight checks, observability signals to watch, defined rollback trigger, and rollback procedure.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rollback path is concrete and independently executable; every stated check maps to an existing monitor.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review-gate-specification"/>
    <w:p>
      <w:pPr>
        <w:pStyle w:val="Heading2"/>
      </w:pPr>
      <w:r>
        <w:t xml:space="preserve">8. Review gate specification</w:t>
      </w:r>
    </w:p>
    <w:bookmarkStart w:id="37" w:name="operating-model"/>
    <w:p>
      <w:pPr>
        <w:pStyle w:val="Heading3"/>
      </w:pPr>
      <w:r>
        <w:t xml:space="preserve">8.1 Operating model</w:t>
      </w:r>
    </w:p>
    <w:p>
      <w:pPr>
        <w:pStyle w:val="FirstParagraph"/>
      </w:pPr>
      <w:r>
        <w:t xml:space="preserve">The gate runs once per artifact, on a runner with read-only access to the artifact and its declared upstream inputs. It does not receive the authoring agent’s transcript, reasoning, or self-assessment — only the artifact, its inputs, and the rubric.</w:t>
      </w:r>
    </w:p>
    <w:p>
      <w:pPr>
        <w:pStyle w:val="BodyText"/>
      </w:pPr>
      <w:r>
        <w:t xml:space="preserve">Each artifact type has a rubric in</w:t>
      </w:r>
      <w:r>
        <w:t xml:space="preserve"> </w:t>
      </w:r>
      <w:r>
        <w:rPr>
          <w:rStyle w:val="VerbatimChar"/>
        </w:rPr>
        <w:t xml:space="preserve">rubrics/</w:t>
      </w:r>
      <w:r>
        <w:t xml:space="preserve">. The rubric defines advisory findings and a hard-fail set. Without a hard-fail set the gate degrades into commentary.</w:t>
      </w:r>
    </w:p>
    <w:bookmarkEnd w:id="37"/>
    <w:bookmarkStart w:id="38" w:name="verdict-schema"/>
    <w:p>
      <w:pPr>
        <w:pStyle w:val="Heading3"/>
      </w:pPr>
      <w:r>
        <w:t xml:space="preserve">8.2 Verdict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"docs/design/PROJ-1234-adr.md"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"reviewer_model"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| pass_with_findings | 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"hard_fails"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"D-HF-02"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migration path for the changed interface."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"suggested_fix"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verdict returns the artifact to its authoring phase with the hard-fail list appended to the prompt. Two consecutive failures on the same rule escalate to a human rather than triggering a third attempt — repeated automated retries on the same rule reliably produce cosmetic compliance rather than a fix.</w:t>
      </w:r>
    </w:p>
    <w:bookmarkEnd w:id="38"/>
    <w:bookmarkStart w:id="39" w:name="hard-fail-sets-by-artifact"/>
    <w:p>
      <w:pPr>
        <w:pStyle w:val="Heading3"/>
      </w:pPr>
      <w:r>
        <w:t xml:space="preserve">8.3 Hard-fail sets by artifact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Untestable requirement; unstated assumption presented as fact; missing acceptance criteria for a stated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with no corresponding design element; breaking interface change without migration; undocumented new external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asserting on the implementation rather than the requirement; interface drift; a requirement with no covering test; secret or credential in the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rollback procedure; rollback trigger not tied to an existing monitor; irreversible step without an explicit human checkpoint</w:t>
            </w:r>
          </w:p>
        </w:tc>
      </w:tr>
    </w:tbl>
    <w:bookmarkEnd w:id="39"/>
    <w:bookmarkStart w:id="40" w:name="known-limitation"/>
    <w:p>
      <w:pPr>
        <w:pStyle w:val="Heading3"/>
      </w:pPr>
      <w:r>
        <w:t xml:space="preserve">8.4 Known limitation</w:t>
      </w:r>
    </w:p>
    <w:p>
      <w:pPr>
        <w:pStyle w:val="FirstParagraph"/>
      </w:pPr>
      <w:r>
        <w:t xml:space="preserve">Automated cross-model review is a quality control, not a segregation-of-duties control. No recognised audit framework accepts one model reviewing another as independent approval. State this explicitly in any control narrative: the human approver at each gate is the control; the review gate reduces the volume and raises the floor of what reaches them.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orchestration"/>
    <w:p>
      <w:pPr>
        <w:pStyle w:val="Heading2"/>
      </w:pPr>
      <w:r>
        <w:t xml:space="preserve">9. Orchestration</w:t>
      </w:r>
    </w:p>
    <w:bookmarkStart w:id="45" w:name="sequence"/>
    <w:p>
      <w:pPr>
        <w:pStyle w:val="Heading3"/>
      </w:pPr>
      <w:r>
        <w:t xml:space="preserve">9.1 Sequence</w:t>
      </w:r>
    </w:p>
    <w:p>
      <w:pPr>
        <w:pStyle w:val="CaptionedFigure"/>
      </w:pPr>
      <w:r>
        <w:drawing>
          <wp:inline>
            <wp:extent cx="5334000" cy="2990272"/>
            <wp:effectExtent b="0" l="0" r="0" t="0"/>
            <wp:docPr descr="Review loop: phase agent to review gate, with retry and escalation branches" title="" id="43" name="Picture"/>
            <a:graphic>
              <a:graphicData uri="http://schemas.openxmlformats.org/drawingml/2006/picture">
                <pic:pic>
                  <pic:nvPicPr>
                    <pic:cNvPr descr="/mnt/user-data/outputs/diagrams/review-loo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loop: phase agent to review gate, with retry and escalation branches</w:t>
      </w:r>
    </w:p>
    <w:bookmarkEnd w:id="45"/>
    <w:bookmarkStart w:id="46" w:name="orchestrator-requirements"/>
    <w:p>
      <w:pPr>
        <w:pStyle w:val="Heading3"/>
      </w:pPr>
      <w:r>
        <w:t xml:space="preserve">9.2 Orchestrator requirements</w:t>
      </w:r>
    </w:p>
    <w:p>
      <w:pPr>
        <w:pStyle w:val="FirstParagraph"/>
      </w:pPr>
      <w:r>
        <w:t xml:space="preserve">The orchestrator is a neutral component — a CI workflow or a shell driver. Neither vendor’s tooling orchestrates the other.</w:t>
      </w:r>
    </w:p>
    <w:p>
      <w:pPr>
        <w:numPr>
          <w:ilvl w:val="0"/>
          <w:numId w:val="1006"/>
        </w:numPr>
        <w:pStyle w:val="Compact"/>
      </w:pPr>
      <w:r>
        <w:t xml:space="preserve">Each phase and each review runs in its own worktree or ephemeral checkout.</w:t>
      </w:r>
    </w:p>
    <w:p>
      <w:pPr>
        <w:numPr>
          <w:ilvl w:val="0"/>
          <w:numId w:val="1006"/>
        </w:numPr>
        <w:pStyle w:val="Compact"/>
      </w:pPr>
      <w:r>
        <w:t xml:space="preserve">The orchestrator passes only the declared inputs to each step. It does not forward the authoring transcript to the gate.</w:t>
      </w:r>
    </w:p>
    <w:p>
      <w:pPr>
        <w:numPr>
          <w:ilvl w:val="0"/>
          <w:numId w:val="1006"/>
        </w:numPr>
        <w:pStyle w:val="Compact"/>
      </w:pPr>
      <w:r>
        <w:t xml:space="preserve">Every step writes its verdict and metadata to the evidence store before the pipeline advances.</w:t>
      </w:r>
    </w:p>
    <w:p>
      <w:pPr>
        <w:numPr>
          <w:ilvl w:val="0"/>
          <w:numId w:val="1006"/>
        </w:numPr>
        <w:pStyle w:val="Compact"/>
      </w:pPr>
      <w:r>
        <w:t xml:space="preserve">A phase that exceeds its wall-clock or token budget fails closed and notifies a human. It never advances on a partial artifact.</w:t>
      </w:r>
    </w:p>
    <w:bookmarkEnd w:id="46"/>
    <w:bookmarkStart w:id="47" w:name="illustrative-invocation"/>
    <w:p>
      <w:pPr>
        <w:pStyle w:val="Heading3"/>
      </w:pPr>
      <w:r>
        <w:t xml:space="preserve">9.3 Illustrative invocation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worktree add </w:t>
      </w:r>
      <w:r>
        <w:rPr>
          <w:rStyle w:val="StringTok"/>
        </w:rPr>
        <w:t xml:space="preserve">"../wt-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$PHASE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"agent/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$PHASE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Phase agent (Claude lane)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"../wt-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$PHASE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.claude/prompts/</w:t>
      </w:r>
      <w:r>
        <w:rPr>
          <w:rStyle w:val="VariableTok"/>
        </w:rPr>
        <w:t xml:space="preserve">$PHASE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acceptEdits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Review gate (Codex lane, read-only, separate checkout)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"../wt-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-review"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--sandbox</w:t>
      </w:r>
      <w:r>
        <w:rPr>
          <w:rStyle w:val="NormalTok"/>
        </w:rPr>
        <w:t xml:space="preserve"> read-only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"Apply rubrics/</w:t>
      </w:r>
      <w:r>
        <w:rPr>
          <w:rStyle w:val="VariableTok"/>
        </w:rPr>
        <w:t xml:space="preserve">$PHASE</w:t>
      </w:r>
      <w:r>
        <w:rPr>
          <w:rStyle w:val="StringTok"/>
        </w:rPr>
        <w:t xml:space="preserve">.md to </w:t>
      </w:r>
      <w:r>
        <w:rPr>
          <w:rStyle w:val="VariableTok"/>
        </w:rPr>
        <w:t xml:space="preserve">$ARTIFACT</w:t>
      </w:r>
      <w:r>
        <w:rPr>
          <w:rStyle w:val="StringTok"/>
        </w:rPr>
        <w:t xml:space="preserve">. Emit only JSON per reviews/schema.json."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"reviews/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$PHASE</w:t>
      </w:r>
      <w:r>
        <w:rPr>
          <w:rStyle w:val="StringTok"/>
        </w:rPr>
        <w:t xml:space="preserve">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Verify current CLI flags against vendor documentation before adoption; both tools change quickly, and non-interactive approval and sandbox behaviour in particular have moved between releases.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figuration"/>
    <w:p>
      <w:pPr>
        <w:pStyle w:val="Heading2"/>
      </w:pPr>
      <w:r>
        <w:t xml:space="preserve">10. Configuration</w:t>
      </w:r>
    </w:p>
    <w:bookmarkStart w:id="49" w:name="mcp-servers"/>
    <w:p>
      <w:pPr>
        <w:pStyle w:val="Heading3"/>
      </w:pPr>
      <w:r>
        <w:t xml:space="preserve">10.1 MCP servers</w:t>
      </w:r>
    </w:p>
    <w:p>
      <w:pPr>
        <w:pStyle w:val="FirstParagraph"/>
      </w:pPr>
      <w:r>
        <w:t xml:space="preserve">Both lanes reach the same servers through separate configuration files: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for the Claude lane,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for the Codex lane. Generate both from a single source of truth to prevent drift; a reviewer with different tool access than the author is a silent source of false verdicts.</w:t>
      </w:r>
    </w:p>
    <w:p>
      <w:pPr>
        <w:pStyle w:val="BodyText"/>
      </w:pPr>
      <w:r>
        <w:t xml:space="preserve">The review lane should receive strictly fewer servers than the authoring lane — read access to the tracker and the repository, nothing that can mutate state.</w:t>
      </w:r>
    </w:p>
    <w:bookmarkEnd w:id="49"/>
    <w:bookmarkStart w:id="50" w:name="permissions"/>
    <w:p>
      <w:pPr>
        <w:pStyle w:val="Heading3"/>
      </w:pPr>
      <w:r>
        <w:t xml:space="preserve">10.2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/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write, scoped to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MCP servers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read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servers, package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beyond registry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write, scoped to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environment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tokens only</w:t>
            </w:r>
          </w:p>
        </w:tc>
      </w:tr>
    </w:tbl>
    <w:bookmarkEnd w:id="50"/>
    <w:bookmarkStart w:id="51" w:name="prompt-and-rubric-versioning"/>
    <w:p>
      <w:pPr>
        <w:pStyle w:val="Heading3"/>
      </w:pPr>
      <w:r>
        <w:t xml:space="preserve">10.3 Prompt and rubric versioning</w:t>
      </w:r>
    </w:p>
    <w:p>
      <w:pPr>
        <w:pStyle w:val="FirstParagraph"/>
      </w:pPr>
      <w:r>
        <w:t xml:space="preserve">Prompts and rubrics are semantically versioned. The version in force is recorded in every artifact and verdict. Changing a hard-fail rule requires the same approval as a CI configuration change, because it changes what the pipeline is permitted to let through.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vidence-and-audit-trail"/>
    <w:p>
      <w:pPr>
        <w:pStyle w:val="Heading2"/>
      </w:pPr>
      <w:r>
        <w:t xml:space="preserve">11. Evidence and audit trail</w:t>
      </w:r>
    </w:p>
    <w:p>
      <w:pPr>
        <w:pStyle w:val="FirstParagraph"/>
      </w:pPr>
      <w:r>
        <w:t xml:space="preserve">Record per phase transition:</w:t>
      </w:r>
    </w:p>
    <w:p>
      <w:pPr>
        <w:numPr>
          <w:ilvl w:val="0"/>
          <w:numId w:val="1007"/>
        </w:numPr>
        <w:pStyle w:val="Compact"/>
      </w:pPr>
      <w:r>
        <w:t xml:space="preserve">Ticket, phase, timestamp, orchestrator run ID</w:t>
      </w:r>
    </w:p>
    <w:p>
      <w:pPr>
        <w:numPr>
          <w:ilvl w:val="0"/>
          <w:numId w:val="1007"/>
        </w:numPr>
        <w:pStyle w:val="Compact"/>
      </w:pPr>
      <w:r>
        <w:t xml:space="preserve">Artifact path and SHA-256</w:t>
      </w:r>
    </w:p>
    <w:p>
      <w:pPr>
        <w:numPr>
          <w:ilvl w:val="0"/>
          <w:numId w:val="1007"/>
        </w:numPr>
        <w:pStyle w:val="Compact"/>
      </w:pPr>
      <w:r>
        <w:t xml:space="preserve">Generating model identifier and prompt version</w:t>
      </w:r>
    </w:p>
    <w:p>
      <w:pPr>
        <w:numPr>
          <w:ilvl w:val="0"/>
          <w:numId w:val="1007"/>
        </w:numPr>
        <w:pStyle w:val="Compact"/>
      </w:pPr>
      <w:r>
        <w:t xml:space="preserve">Upstream artifact hashes</w:t>
      </w:r>
    </w:p>
    <w:p>
      <w:pPr>
        <w:numPr>
          <w:ilvl w:val="0"/>
          <w:numId w:val="1007"/>
        </w:numPr>
        <w:pStyle w:val="Compact"/>
      </w:pPr>
      <w:r>
        <w:t xml:space="preserve">Reviewer model identifier, rubric version, full verdict</w:t>
      </w:r>
    </w:p>
    <w:p>
      <w:pPr>
        <w:numPr>
          <w:ilvl w:val="0"/>
          <w:numId w:val="1007"/>
        </w:numPr>
        <w:pStyle w:val="Compact"/>
      </w:pPr>
      <w:r>
        <w:t xml:space="preserve">Human approver identity and decision, with the verdict they saw</w:t>
      </w:r>
    </w:p>
    <w:p>
      <w:pPr>
        <w:pStyle w:val="FirstParagraph"/>
      </w:pPr>
      <w:r>
        <w:t xml:space="preserve">Retain for the period required by the governing framework. The likely first audit question is not whether AI was used but whether a named person approved each change and what evidence they had in front of them. This record answers that directly.</w:t>
      </w:r>
    </w:p>
    <w:p>
      <w:r>
        <w:pict>
          <v:rect style="width:0;height:1.5pt" o:hralign="center" o:hrstd="t" o:hr="t"/>
        </w:pict>
      </w:r>
    </w:p>
    <w:bookmarkEnd w:id="53"/>
    <w:bookmarkStart w:id="54" w:name="metrics"/>
    <w:p>
      <w:pPr>
        <w:pStyle w:val="Heading2"/>
      </w:pPr>
      <w:r>
        <w:t xml:space="preserve">12.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hard-fail rate by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gate doing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zero suggests rubber-stamping; near 100% suggests a miscalibrated 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Escalations after two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Retry-loop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trend indicates rubrics stating preferences rather than defects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 escaping to production, by originating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pipeline actually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in one phase directs rubric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time per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attention moved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still concentrated at code review means the shift has not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churn after design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churn means the R-gate is passing incomplete specs</w:t>
            </w:r>
          </w:p>
        </w:tc>
      </w:tr>
    </w:tbl>
    <w:p>
      <w:pPr>
        <w:pStyle w:val="BodyText"/>
      </w:pPr>
      <w:r>
        <w:t xml:space="preserve">Track defect escape rate against the pre-adoption baseline. Throughput improvements are easy to demonstrate and easy to achieve by lowering the bar; escape rate is what tells you whether the control set holds.</w:t>
      </w:r>
    </w:p>
    <w:p>
      <w:r>
        <w:pict>
          <v:rect style="width:0;height:1.5pt" o:hralign="center" o:hrstd="t" o:hr="t"/>
        </w:pict>
      </w:r>
    </w:p>
    <w:bookmarkEnd w:id="54"/>
    <w:bookmarkStart w:id="55" w:name="failure-modes"/>
    <w:p>
      <w:pPr>
        <w:pStyle w:val="Heading2"/>
      </w:pPr>
      <w:r>
        <w:t xml:space="preserve">13. Failure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 rubber-stamps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rate near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defect injection on a sample of runs; audit the gate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Fabricated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with no source in the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agent halts on ambiguity; product owner gate is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Cosmetic compliance on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rule fails twice with superficial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human after the second failure; never a third automated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diverges from the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schema diff, not model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or rubric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Verdicts change without a rubric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pinning; verdict records the versions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gate becomes a formality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latency approaches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Sample-audit approvals; require a written rationale on any</w:t>
            </w:r>
            <w:r>
              <w:t xml:space="preserve"> </w:t>
            </w:r>
            <w:r>
              <w:rPr>
                <w:rStyle w:val="VerbatimChar"/>
              </w:rPr>
              <w:t xml:space="preserve">pass_with_findings</w:t>
            </w:r>
          </w:p>
        </w:tc>
      </w:tr>
    </w:tbl>
    <w:p>
      <w:pPr>
        <w:pStyle w:val="BodyText"/>
      </w:pPr>
      <w:r>
        <w:t xml:space="preserve">The last row is the one that decides whether this pipeline is a control environment or theatre. If approvals become instantaneous, the gate has stopped functioning regardless of what the evidence store contains.</w:t>
      </w:r>
    </w:p>
    <w:p>
      <w:r>
        <w:pict>
          <v:rect style="width:0;height:1.5pt" o:hralign="center" o:hrstd="t" o:hr="t"/>
        </w:pict>
      </w:r>
    </w:p>
    <w:bookmarkEnd w:id="55"/>
    <w:bookmarkStart w:id="56" w:name="rollout"/>
    <w:p>
      <w:pPr>
        <w:pStyle w:val="Heading2"/>
      </w:pPr>
      <w:r>
        <w:t xml:space="preserve">14. Rollout</w:t>
      </w:r>
    </w:p>
    <w:p>
      <w:pPr>
        <w:pStyle w:val="FirstParagraph"/>
      </w:pPr>
      <w:r>
        <w:rPr>
          <w:bCs/>
          <w:b/>
        </w:rPr>
        <w:t xml:space="preserve">Stage 1 — shadow (4 weeks).</w:t>
      </w:r>
      <w:r>
        <w:t xml:space="preserve"> </w:t>
      </w:r>
      <w:r>
        <w:t xml:space="preserve">Agents produce artifacts for tickets already being delivered conventionally. Nothing merges from the agent path. Compare agent artifacts against human ones and calibrate the rubrics. Success criterion: hard-fail set catches defects a human reviewer independently identified.</w:t>
      </w:r>
    </w:p>
    <w:p>
      <w:pPr>
        <w:pStyle w:val="BodyText"/>
      </w:pPr>
      <w:r>
        <w:rPr>
          <w:bCs/>
          <w:b/>
        </w:rPr>
        <w:t xml:space="preserve">Stage 2 — assisted (6 weeks).</w:t>
      </w:r>
      <w:r>
        <w:t xml:space="preserve"> </w:t>
      </w:r>
      <w:r>
        <w:t xml:space="preserve">Agent artifacts become the starting point for low-risk tickets. All four human gates are mandatory and timed. Success criterion: defect escape rate at or below baseline.</w:t>
      </w:r>
    </w:p>
    <w:p>
      <w:pPr>
        <w:pStyle w:val="BodyText"/>
      </w:pPr>
      <w:r>
        <w:rPr>
          <w:bCs/>
          <w:b/>
        </w:rPr>
        <w:t xml:space="preserve">Stage 3 — standard.</w:t>
      </w:r>
      <w:r>
        <w:t xml:space="preserve"> </w:t>
      </w:r>
      <w:r>
        <w:t xml:space="preserve">The pipeline is the default path for tickets within an agreed risk class. Gates remain mandatory. Any expansion of the risk class is a separate decision with its own evidence.</w:t>
      </w:r>
    </w:p>
    <w:p>
      <w:pPr>
        <w:pStyle w:val="BodyText"/>
      </w:pPr>
      <w:r>
        <w:t xml:space="preserve">Do not begin at Stage 3 on a regulated workload. The evidence needed to defend the control set is generated during Stages 1 and 2.</w:t>
      </w:r>
    </w:p>
    <w:p>
      <w:r>
        <w:pict>
          <v:rect style="width:0;height:1.5pt" o:hralign="center" o:hrstd="t" o:hr="t"/>
        </w:pict>
      </w:r>
    </w:p>
    <w:bookmarkEnd w:id="56"/>
    <w:bookmarkStart w:id="57" w:name="open-decisions"/>
    <w:p>
      <w:pPr>
        <w:pStyle w:val="Heading2"/>
      </w:pPr>
      <w:r>
        <w:t xml:space="preserve">15. Open decisions</w:t>
      </w:r>
    </w:p>
    <w:p>
      <w:pPr>
        <w:numPr>
          <w:ilvl w:val="0"/>
          <w:numId w:val="1008"/>
        </w:numPr>
        <w:pStyle w:val="Compact"/>
      </w:pPr>
      <w:r>
        <w:t xml:space="preserve">Review-gate vendor — confirm procurement and data-handling approval for a second model provider, or accept the weaker same-vendor fallback and record it.</w:t>
      </w:r>
    </w:p>
    <w:p>
      <w:pPr>
        <w:numPr>
          <w:ilvl w:val="0"/>
          <w:numId w:val="1008"/>
        </w:numPr>
        <w:pStyle w:val="Compact"/>
      </w:pPr>
      <w:r>
        <w:t xml:space="preserve">Risk class eligible for the pipeline at Stage 3.</w:t>
      </w:r>
    </w:p>
    <w:p>
      <w:pPr>
        <w:numPr>
          <w:ilvl w:val="0"/>
          <w:numId w:val="1008"/>
        </w:numPr>
        <w:pStyle w:val="Compact"/>
      </w:pPr>
      <w:r>
        <w:t xml:space="preserve">Whether the deploy phase applies to production releases or stops at pre-production.</w:t>
      </w:r>
    </w:p>
    <w:p>
      <w:pPr>
        <w:numPr>
          <w:ilvl w:val="0"/>
          <w:numId w:val="1008"/>
        </w:numPr>
        <w:pStyle w:val="Compact"/>
      </w:pPr>
      <w:r>
        <w:t xml:space="preserve">Evidence retention period and system of record.</w:t>
      </w:r>
    </w:p>
    <w:p>
      <w:pPr>
        <w:numPr>
          <w:ilvl w:val="0"/>
          <w:numId w:val="1008"/>
        </w:numPr>
        <w:pStyle w:val="Compact"/>
      </w:pPr>
      <w:r>
        <w:t xml:space="preserve">Whether prompt and rubric changes are in scope for the existing change-advisory process.</w:t>
      </w:r>
    </w:p>
    <w:p>
      <w:pPr>
        <w:numPr>
          <w:ilvl w:val="0"/>
          <w:numId w:val="1008"/>
        </w:numPr>
        <w:pStyle w:val="Compact"/>
      </w:pPr>
      <w:r>
        <w:t xml:space="preserve">Token budget ceiling per ticket and the behaviour on exceeding it.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4B3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4B3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4B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4B3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F4B3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F4B3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F4B3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F4B3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F4B3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F4B3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1F4B3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2026-08-04T11:35:22Z</dcterms:created>
  <dcterms:modified xsi:type="dcterms:W3CDTF">2026-08-04T11:35:22Z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