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A5859" w14:textId="6B1B626A" w:rsidR="00804A7D" w:rsidRPr="00804A7D" w:rsidRDefault="00980FD5">
      <w:pPr>
        <w:pStyle w:val="1"/>
        <w:rPr>
          <w:rFonts w:ascii="Calibri" w:eastAsia="Calibri" w:hAnsi="Calibri"/>
          <w:sz w:val="28"/>
          <w:szCs w:val="24"/>
          <w:lang w:val="ru-RU"/>
        </w:rPr>
      </w:pPr>
      <w:r>
        <w:rPr>
          <w:noProof/>
        </w:rPr>
        <w:drawing>
          <wp:anchor distT="0" distB="0" distL="114300" distR="114300" simplePos="0" relativeHeight="251659264" behindDoc="0" locked="0" layoutInCell="1" allowOverlap="1" wp14:anchorId="56343B6D" wp14:editId="187C67AE">
            <wp:simplePos x="0" y="0"/>
            <wp:positionH relativeFrom="column">
              <wp:posOffset>-179705</wp:posOffset>
            </wp:positionH>
            <wp:positionV relativeFrom="paragraph">
              <wp:posOffset>635</wp:posOffset>
            </wp:positionV>
            <wp:extent cx="2837815" cy="960120"/>
            <wp:effectExtent l="0" t="0" r="635"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37815" cy="960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2A97" w:rsidRPr="00804A7D">
        <w:rPr>
          <w:noProof/>
          <w:sz w:val="28"/>
          <w:szCs w:val="24"/>
        </w:rPr>
        <w:drawing>
          <wp:anchor distT="0" distB="0" distL="114300" distR="114300" simplePos="0" relativeHeight="251658240" behindDoc="1" locked="0" layoutInCell="1" allowOverlap="1" wp14:anchorId="5342F9E6" wp14:editId="58AC586F">
            <wp:simplePos x="0" y="0"/>
            <wp:positionH relativeFrom="column">
              <wp:posOffset>4004310</wp:posOffset>
            </wp:positionH>
            <wp:positionV relativeFrom="paragraph">
              <wp:posOffset>0</wp:posOffset>
            </wp:positionV>
            <wp:extent cx="2590800" cy="876300"/>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90800" cy="876300"/>
                    </a:xfrm>
                    <a:prstGeom prst="rect">
                      <a:avLst/>
                    </a:prstGeom>
                    <a:noFill/>
                    <a:ln>
                      <a:noFill/>
                    </a:ln>
                  </pic:spPr>
                </pic:pic>
              </a:graphicData>
            </a:graphic>
          </wp:anchor>
        </w:drawing>
      </w:r>
      <w:r w:rsidR="00DA189D" w:rsidRPr="00804A7D">
        <w:rPr>
          <w:rFonts w:ascii="Calibri" w:eastAsia="Calibri" w:hAnsi="Calibri"/>
          <w:sz w:val="28"/>
          <w:szCs w:val="24"/>
          <w:lang w:val="ru-RU"/>
        </w:rPr>
        <w:t xml:space="preserve">Бизнес-проблема </w:t>
      </w:r>
      <w:r w:rsidR="00753CC2" w:rsidRPr="00804A7D">
        <w:rPr>
          <w:rFonts w:ascii="Calibri" w:eastAsia="Calibri" w:hAnsi="Calibri"/>
          <w:sz w:val="28"/>
          <w:szCs w:val="24"/>
          <w:lang w:val="ru-RU"/>
        </w:rPr>
        <w:t>на базе коммуникации с руководителями подразделений</w:t>
      </w:r>
      <w:r w:rsidR="00E75B22" w:rsidRPr="00804A7D">
        <w:rPr>
          <w:rFonts w:ascii="Calibri" w:eastAsia="Calibri" w:hAnsi="Calibri"/>
          <w:sz w:val="28"/>
          <w:szCs w:val="24"/>
          <w:lang w:val="ru-RU"/>
        </w:rPr>
        <w:t>.</w:t>
      </w:r>
      <w:r w:rsidR="00B115D8" w:rsidRPr="00804A7D">
        <w:rPr>
          <w:rFonts w:ascii="Calibri" w:eastAsia="Calibri" w:hAnsi="Calibri"/>
          <w:sz w:val="28"/>
          <w:szCs w:val="24"/>
          <w:lang w:val="ru-RU"/>
        </w:rPr>
        <w:t xml:space="preserve"> </w:t>
      </w:r>
    </w:p>
    <w:p w14:paraId="57F5E14E" w14:textId="77777777" w:rsidR="00804A7D" w:rsidRPr="00DA189D" w:rsidRDefault="00804A7D" w:rsidP="00804A7D">
      <w:pPr>
        <w:rPr>
          <w:lang w:val="ru-RU"/>
        </w:rPr>
      </w:pPr>
      <w:r w:rsidRPr="00DA189D">
        <w:rPr>
          <w:color w:val="4B5563"/>
          <w:lang w:val="ru-RU"/>
        </w:rPr>
        <w:t>Банк «Северный Контур». Исследование розничных вкладов 91 и 181 день.</w:t>
      </w:r>
    </w:p>
    <w:p w14:paraId="2F000989" w14:textId="0ED15245" w:rsidR="00624B56" w:rsidRDefault="00E75B22" w:rsidP="00804A7D">
      <w:pPr>
        <w:pStyle w:val="21"/>
        <w:rPr>
          <w:rFonts w:ascii="Calibri" w:eastAsia="Calibri" w:hAnsi="Calibri"/>
          <w:color w:val="365F91" w:themeColor="accent1" w:themeShade="BF"/>
          <w:lang w:val="ru-RU"/>
        </w:rPr>
      </w:pPr>
      <w:r w:rsidRPr="00E75B22">
        <w:rPr>
          <w:rFonts w:ascii="Calibri" w:eastAsia="Calibri" w:hAnsi="Calibri"/>
          <w:color w:val="365F91" w:themeColor="accent1" w:themeShade="BF"/>
          <w:lang w:val="ru-RU"/>
        </w:rPr>
        <w:t xml:space="preserve">Цель проекта </w:t>
      </w:r>
    </w:p>
    <w:p w14:paraId="632A2035" w14:textId="25B7AED5" w:rsidR="00804A7D" w:rsidRPr="00804A7D" w:rsidRDefault="00804A7D" w:rsidP="00804A7D">
      <w:pPr>
        <w:rPr>
          <w:lang w:val="ru-RU"/>
        </w:rPr>
      </w:pPr>
      <w:r>
        <w:rPr>
          <w:lang w:val="ru-RU"/>
        </w:rPr>
        <w:t>У</w:t>
      </w:r>
      <w:r w:rsidRPr="00804A7D">
        <w:rPr>
          <w:lang w:val="ru-RU"/>
        </w:rPr>
        <w:t>довлетворить аналитические потребности руководителей подразделений и топ-менеджмента.</w:t>
      </w:r>
      <w:r>
        <w:rPr>
          <w:lang w:val="ru-RU"/>
        </w:rPr>
        <w:t xml:space="preserve"> Р</w:t>
      </w:r>
      <w:r w:rsidRPr="00804A7D">
        <w:rPr>
          <w:lang w:val="ru-RU"/>
        </w:rPr>
        <w:t>азработать систему дашбордов, закрывающую задачи руководителей подразделений и обеспечивающую единую картину по розничным вкладам</w:t>
      </w:r>
      <w:r w:rsidR="00980FD5">
        <w:rPr>
          <w:lang w:val="ru-RU"/>
        </w:rPr>
        <w:t>.</w:t>
      </w:r>
      <w:r w:rsidRPr="00804A7D">
        <w:rPr>
          <w:lang w:val="ru-RU"/>
        </w:rPr>
        <w:t xml:space="preserve"> </w:t>
      </w:r>
    </w:p>
    <w:p w14:paraId="0B1AD11A" w14:textId="51015D8E" w:rsidR="00624B56" w:rsidRPr="00753CC2" w:rsidRDefault="000F4041">
      <w:pPr>
        <w:pStyle w:val="21"/>
        <w:rPr>
          <w:color w:val="365F91" w:themeColor="accent1" w:themeShade="BF"/>
          <w:lang w:val="ru-RU"/>
        </w:rPr>
      </w:pPr>
      <w:r w:rsidRPr="00753CC2">
        <w:rPr>
          <w:rFonts w:ascii="Calibri" w:eastAsia="Calibri" w:hAnsi="Calibri"/>
          <w:color w:val="365F91" w:themeColor="accent1" w:themeShade="BF"/>
          <w:lang w:val="ru-RU"/>
        </w:rPr>
        <w:t>Общее</w:t>
      </w:r>
    </w:p>
    <w:p w14:paraId="393DC21C" w14:textId="6A377C8C" w:rsidR="00804A7D" w:rsidRPr="00804A7D" w:rsidRDefault="00804A7D" w:rsidP="00804A7D">
      <w:pPr>
        <w:rPr>
          <w:rFonts w:cs="Calibri"/>
          <w:bCs/>
          <w:color w:val="000000"/>
          <w:lang w:val="ru-RU"/>
        </w:rPr>
      </w:pPr>
      <w:r w:rsidRPr="00804A7D">
        <w:rPr>
          <w:rFonts w:cs="Calibri"/>
          <w:bCs/>
          <w:color w:val="000000"/>
          <w:lang w:val="ru-RU"/>
        </w:rPr>
        <w:t>Банк «Северный Контур» проводит исследование розничных вкладов на 91 и 181 день. Текст учитывает основную и дополнительную переписку с руководителями подразделений.</w:t>
      </w:r>
      <w:r>
        <w:rPr>
          <w:rFonts w:cs="Calibri"/>
          <w:bCs/>
          <w:color w:val="000000"/>
          <w:lang w:val="ru-RU"/>
        </w:rPr>
        <w:t xml:space="preserve"> </w:t>
      </w:r>
      <w:r w:rsidRPr="00804A7D">
        <w:rPr>
          <w:rFonts w:cs="Calibri"/>
          <w:bCs/>
          <w:color w:val="000000"/>
          <w:lang w:val="ru-RU"/>
        </w:rPr>
        <w:t>Вклад на 91 день быстро закрывает план по объёму. Вклад на 181 день обычно дешевле для банка и лучше удерживает клиента. Ирина Ковальчук и Михаил Орлов здесь не спорят: оба хотят сдвинуть портфель в сторону 181 дня. Слабое место в том, что план закрывают коротким вкладом, а в более длинный он переходит плохо.</w:t>
      </w:r>
    </w:p>
    <w:p w14:paraId="40C946BC" w14:textId="77777777" w:rsidR="00804A7D" w:rsidRPr="00804A7D" w:rsidRDefault="00804A7D" w:rsidP="00804A7D">
      <w:pPr>
        <w:rPr>
          <w:rFonts w:cs="Calibri"/>
          <w:bCs/>
          <w:color w:val="000000"/>
          <w:lang w:val="ru-RU"/>
        </w:rPr>
      </w:pPr>
      <w:r w:rsidRPr="00804A7D">
        <w:rPr>
          <w:rFonts w:cs="Calibri"/>
          <w:bCs/>
          <w:color w:val="000000"/>
          <w:lang w:val="ru-RU"/>
        </w:rPr>
        <w:t>Здесь есть два вызова, которые нельзя склеить в одно решение:</w:t>
      </w:r>
    </w:p>
    <w:p w14:paraId="40905484" w14:textId="77777777" w:rsidR="00804A7D" w:rsidRPr="00804A7D" w:rsidRDefault="00804A7D" w:rsidP="00804A7D">
      <w:pPr>
        <w:pStyle w:val="ae"/>
        <w:numPr>
          <w:ilvl w:val="0"/>
          <w:numId w:val="10"/>
        </w:numPr>
        <w:ind w:left="360"/>
        <w:rPr>
          <w:rFonts w:cs="Calibri"/>
          <w:bCs/>
          <w:color w:val="000000"/>
          <w:lang w:val="ru-RU"/>
        </w:rPr>
      </w:pPr>
      <w:r w:rsidRPr="00DC2F92">
        <w:rPr>
          <w:rFonts w:cs="Calibri"/>
          <w:b/>
          <w:color w:val="000000"/>
          <w:lang w:val="ru-RU"/>
        </w:rPr>
        <w:t>Экономический</w:t>
      </w:r>
      <w:r w:rsidRPr="00804A7D">
        <w:rPr>
          <w:rFonts w:cs="Calibri"/>
          <w:bCs/>
          <w:color w:val="000000"/>
          <w:lang w:val="ru-RU"/>
        </w:rPr>
        <w:t>. Как настроить ставку и промо, чтобы выполнить план, не пробив внутренний потолок стоимости фондирования. За это отвечают Елена Морозова (сравнение с рынком и планом) и Михаил Орлов (контроль лимита и ликвидности).</w:t>
      </w:r>
    </w:p>
    <w:p w14:paraId="39CE8815" w14:textId="77777777" w:rsidR="00804A7D" w:rsidRPr="00804A7D" w:rsidRDefault="00804A7D" w:rsidP="00804A7D">
      <w:pPr>
        <w:pStyle w:val="ae"/>
        <w:numPr>
          <w:ilvl w:val="0"/>
          <w:numId w:val="10"/>
        </w:numPr>
        <w:ind w:left="360"/>
        <w:rPr>
          <w:rFonts w:cs="Calibri"/>
          <w:bCs/>
          <w:color w:val="000000"/>
          <w:lang w:val="ru-RU"/>
        </w:rPr>
      </w:pPr>
      <w:r w:rsidRPr="00DC2F92">
        <w:rPr>
          <w:rFonts w:cs="Calibri"/>
          <w:b/>
          <w:color w:val="000000"/>
          <w:lang w:val="ru-RU"/>
        </w:rPr>
        <w:t>Клиентский</w:t>
      </w:r>
      <w:r w:rsidRPr="00804A7D">
        <w:rPr>
          <w:rFonts w:cs="Calibri"/>
          <w:bCs/>
          <w:color w:val="000000"/>
          <w:lang w:val="ru-RU"/>
        </w:rPr>
        <w:t>. Как выстроить коммуникацию для тех, у кого заканчивается 91-й день, чтобы перевести их на 181-й, а не потерять. За это отвечают Анна Белова (CRM-аналитика), Павел Соколов (депозитные операции) и Ирина Ковальчук (продуктовые условия).</w:t>
      </w:r>
    </w:p>
    <w:p w14:paraId="4F272104" w14:textId="77777777" w:rsidR="00804A7D" w:rsidRDefault="00804A7D" w:rsidP="00804A7D">
      <w:pPr>
        <w:rPr>
          <w:rFonts w:cs="Calibri"/>
          <w:bCs/>
          <w:color w:val="000000"/>
          <w:lang w:val="ru-RU"/>
        </w:rPr>
      </w:pPr>
      <w:r w:rsidRPr="00804A7D">
        <w:rPr>
          <w:rFonts w:cs="Calibri"/>
          <w:bCs/>
          <w:color w:val="000000"/>
          <w:lang w:val="ru-RU"/>
        </w:rPr>
        <w:t>Глобальная цель, озвученная Генеральным директором Алексеем Воронцовым, — видеть портфель целиком и понимать, какая идея (ставка, промо или удержание) даёт лучший эффект для бизнеса. Именно для этого была создана система дашбордов, связывающая экономику, удержание и операционные факты в единую картину.</w:t>
      </w:r>
    </w:p>
    <w:p w14:paraId="748392D8" w14:textId="53DC8D57" w:rsidR="00524E62" w:rsidRDefault="00524E62" w:rsidP="00804A7D">
      <w:pPr>
        <w:rPr>
          <w:rFonts w:cs="Calibri"/>
          <w:color w:val="000000"/>
          <w:lang w:val="ru-RU"/>
        </w:rPr>
      </w:pPr>
      <w:r w:rsidRPr="00524E62">
        <w:rPr>
          <w:rFonts w:cstheme="majorBidi"/>
          <w:b/>
          <w:bCs/>
          <w:color w:val="365F91" w:themeColor="accent1" w:themeShade="BF"/>
          <w:sz w:val="26"/>
          <w:szCs w:val="26"/>
          <w:lang w:val="ru-RU"/>
        </w:rPr>
        <w:t>CRM-аналитика (Анна Белова)</w:t>
      </w:r>
      <w:r w:rsidRPr="00E1370E">
        <w:rPr>
          <w:rFonts w:cs="Calibri"/>
          <w:color w:val="000000"/>
          <w:lang w:val="ru-RU"/>
        </w:rPr>
        <w:t xml:space="preserve"> работает не с подъёмом всей тарифной сетки. Она ведёт кампанию, которая даёт надбавку 0,3 или 0,6 </w:t>
      </w:r>
      <w:proofErr w:type="spellStart"/>
      <w:r w:rsidRPr="00E1370E">
        <w:rPr>
          <w:rFonts w:cs="Calibri"/>
          <w:color w:val="000000"/>
          <w:lang w:val="ru-RU"/>
        </w:rPr>
        <w:t>п.п</w:t>
      </w:r>
      <w:proofErr w:type="spellEnd"/>
      <w:r w:rsidRPr="00E1370E">
        <w:rPr>
          <w:rFonts w:cs="Calibri"/>
          <w:color w:val="000000"/>
          <w:lang w:val="ru-RU"/>
        </w:rPr>
        <w:t xml:space="preserve">. поверх сетки и переводит истекающий вклад на 91 день во вклад на 181 день. </w:t>
      </w:r>
    </w:p>
    <w:p w14:paraId="76A562D3" w14:textId="77777777" w:rsidR="00524E62" w:rsidRDefault="00524E62" w:rsidP="00524E62">
      <w:pPr>
        <w:rPr>
          <w:rFonts w:cs="Calibri"/>
          <w:color w:val="000000"/>
          <w:lang w:val="ru-RU"/>
        </w:rPr>
      </w:pPr>
      <w:r w:rsidRPr="002A16BA">
        <w:rPr>
          <w:rFonts w:cs="Calibri"/>
          <w:b/>
          <w:color w:val="000000"/>
          <w:lang w:val="ru-RU"/>
        </w:rPr>
        <w:t>Успех она задала так</w:t>
      </w:r>
      <w:r w:rsidRPr="000F4041">
        <w:rPr>
          <w:rFonts w:cs="Calibri"/>
          <w:color w:val="000000"/>
          <w:lang w:val="ru-RU"/>
        </w:rPr>
        <w:t>:</w:t>
      </w:r>
      <w:r w:rsidRPr="00E1370E">
        <w:rPr>
          <w:rFonts w:cs="Calibri"/>
          <w:color w:val="000000"/>
          <w:lang w:val="ru-RU"/>
        </w:rPr>
        <w:t xml:space="preserve"> в целевой группе новых договоров на 181 день, открытых в течение 30 дней от плановой даты окончания, больше, чем в контрольной. </w:t>
      </w:r>
    </w:p>
    <w:p w14:paraId="691DBD32" w14:textId="77777777" w:rsidR="004C41A2" w:rsidRDefault="00524E62" w:rsidP="004C41A2">
      <w:pPr>
        <w:rPr>
          <w:rFonts w:cs="Calibri"/>
          <w:color w:val="000000"/>
          <w:lang w:val="ru-RU"/>
        </w:rPr>
      </w:pPr>
      <w:r w:rsidRPr="002A16BA">
        <w:rPr>
          <w:rFonts w:cs="Calibri"/>
          <w:b/>
          <w:bCs/>
          <w:color w:val="000000"/>
          <w:lang w:val="ru-RU"/>
        </w:rPr>
        <w:t>Считать нужно по договору, а не по клиенту.</w:t>
      </w:r>
      <w:r w:rsidRPr="00E1370E">
        <w:rPr>
          <w:rFonts w:cs="Calibri"/>
          <w:color w:val="000000"/>
          <w:lang w:val="ru-RU"/>
        </w:rPr>
        <w:t xml:space="preserve"> Окно наблюдения одно для целевой и контрольной групп. Договоры соединяем по номеру договора. Столбец «Отклик» показывает, ответил ли человек на контакт, и не означает, что он открыл новый договор. Это не весь портфель банка, а договоры, которые попали в кампанию: сроки 91 и 181 день, 3 437 штук. </w:t>
      </w:r>
    </w:p>
    <w:p w14:paraId="5B83D972" w14:textId="77777777" w:rsidR="004C41A2" w:rsidRDefault="00524E62" w:rsidP="004C41A2">
      <w:pPr>
        <w:rPr>
          <w:rFonts w:cs="Calibri"/>
          <w:color w:val="000000"/>
          <w:lang w:val="ru-RU"/>
        </w:rPr>
      </w:pPr>
      <w:r w:rsidRPr="00E1370E">
        <w:rPr>
          <w:rFonts w:cs="Calibri"/>
          <w:color w:val="000000"/>
          <w:lang w:val="ru-RU"/>
        </w:rPr>
        <w:lastRenderedPageBreak/>
        <w:t>В апреле 2026 контроль случайный, и с ним можно сравнивать. В июле контроля нет, и эффект этой волны доказать нельзя. На первый экран она просила стоимость контакта и метку, в какой группе договор. В детализацию она просила договор-предшественник, сколько дней прошло до нового договора и приближённый признак «новые деньги».</w:t>
      </w:r>
    </w:p>
    <w:p w14:paraId="5451D2BB" w14:textId="77D90438" w:rsidR="00524E62" w:rsidRDefault="00524E62" w:rsidP="004C41A2">
      <w:pPr>
        <w:rPr>
          <w:rFonts w:cs="Calibri"/>
          <w:color w:val="000000"/>
          <w:lang w:val="ru-RU"/>
        </w:rPr>
      </w:pPr>
      <w:r w:rsidRPr="00524E62">
        <w:rPr>
          <w:rFonts w:cstheme="majorBidi"/>
          <w:b/>
          <w:bCs/>
          <w:color w:val="365F91" w:themeColor="accent1" w:themeShade="BF"/>
          <w:sz w:val="26"/>
          <w:szCs w:val="26"/>
          <w:lang w:val="ru-RU"/>
        </w:rPr>
        <w:t>Рынок и фондирование (Елена Морозова)</w:t>
      </w:r>
      <w:r w:rsidRPr="00762948">
        <w:rPr>
          <w:rFonts w:cs="Calibri"/>
          <w:b/>
          <w:bCs/>
          <w:color w:val="365F91" w:themeColor="accent1" w:themeShade="BF"/>
          <w:sz w:val="24"/>
          <w:szCs w:val="24"/>
          <w:lang w:val="ru-RU"/>
        </w:rPr>
        <w:t>.</w:t>
      </w:r>
      <w:r w:rsidRPr="00753CC2">
        <w:rPr>
          <w:rFonts w:cs="Calibri"/>
          <w:color w:val="365F91" w:themeColor="accent1" w:themeShade="BF"/>
          <w:lang w:val="ru-RU"/>
        </w:rPr>
        <w:t xml:space="preserve"> </w:t>
      </w:r>
      <w:r>
        <w:rPr>
          <w:rFonts w:cs="Calibri"/>
          <w:color w:val="000000"/>
          <w:lang w:val="ru-RU"/>
        </w:rPr>
        <w:t>Елена</w:t>
      </w:r>
      <w:r w:rsidRPr="00E1370E">
        <w:rPr>
          <w:rFonts w:cs="Calibri"/>
          <w:color w:val="000000"/>
          <w:lang w:val="ru-RU"/>
        </w:rPr>
        <w:t xml:space="preserve"> </w:t>
      </w:r>
      <w:r w:rsidRPr="00524E62">
        <w:rPr>
          <w:rFonts w:cs="Calibri"/>
          <w:color w:val="000000"/>
          <w:lang w:val="ru-RU"/>
        </w:rPr>
        <w:t>ставку сама не ставит</w:t>
      </w:r>
      <w:r>
        <w:rPr>
          <w:rFonts w:cs="Calibri"/>
          <w:color w:val="000000"/>
          <w:lang w:val="ru-RU"/>
        </w:rPr>
        <w:t xml:space="preserve">, </w:t>
      </w:r>
      <w:r w:rsidRPr="00E1370E">
        <w:rPr>
          <w:rFonts w:cs="Calibri"/>
          <w:color w:val="000000"/>
          <w:lang w:val="ru-RU"/>
        </w:rPr>
        <w:t xml:space="preserve">готовит для казначейства и продукта сравнение своей цены с рынком и с предельной стоимостью привлечения. Формулу этой предельной стоимости плановый отдел ей не передавал. Сравнивать нужно по ставке, которая действовала в день открытия договора: так видно, что фактически получили клиенты. В витрине конкурентов она смотрит два ориентира. Максимальная ставка топ-10 показывает место банка на витрине. Медиана показывает уровень рынка. </w:t>
      </w:r>
    </w:p>
    <w:p w14:paraId="620E3F6D" w14:textId="77777777" w:rsidR="00524E62" w:rsidRDefault="00524E62" w:rsidP="00524E62">
      <w:pPr>
        <w:rPr>
          <w:rFonts w:cs="Calibri"/>
          <w:color w:val="000000"/>
          <w:lang w:val="ru-RU"/>
        </w:rPr>
      </w:pPr>
      <w:r w:rsidRPr="002A16BA">
        <w:rPr>
          <w:rFonts w:cs="Calibri"/>
          <w:b/>
          <w:bCs/>
          <w:color w:val="000000"/>
          <w:lang w:val="ru-RU"/>
        </w:rPr>
        <w:t>Место в витрине нельзя склеивать со ставкой.</w:t>
      </w:r>
      <w:r w:rsidRPr="00E1370E">
        <w:rPr>
          <w:rFonts w:cs="Calibri"/>
          <w:color w:val="000000"/>
          <w:lang w:val="ru-RU"/>
        </w:rPr>
        <w:t xml:space="preserve"> Пустую строку в панели нельзя считать нулём: пропуск помечают и на ноль не заменяют. В плане для неё важнее не превысить предельную стоимость привлечения, чем любой ценой закрыть объём. Если вклад на 91 день быстрее закрывает план, но стоит дороже, такие объёмы можно брать только при явном одобрении. По итогам она ждёт одно из трёх решений: менять сетку 91 и 181, править надбавку и промо либо замещать отток альтернативным фондированием до 2 млрд ₽. Эластичности в данных нет. </w:t>
      </w:r>
    </w:p>
    <w:p w14:paraId="57A41D3A" w14:textId="10C270DB" w:rsidR="00524E62" w:rsidRDefault="00524E62" w:rsidP="00524E62">
      <w:pPr>
        <w:rPr>
          <w:rFonts w:cs="Calibri"/>
          <w:color w:val="000000"/>
          <w:lang w:val="ru-RU"/>
        </w:rPr>
      </w:pPr>
      <w:r w:rsidRPr="002A16BA">
        <w:rPr>
          <w:rFonts w:cs="Calibri"/>
          <w:b/>
          <w:bCs/>
          <w:color w:val="000000"/>
          <w:lang w:val="ru-RU"/>
        </w:rPr>
        <w:t>Для пилота</w:t>
      </w:r>
      <w:r w:rsidRPr="000F4041">
        <w:rPr>
          <w:rFonts w:cs="Calibri"/>
          <w:color w:val="000000"/>
          <w:lang w:val="ru-RU"/>
        </w:rPr>
        <w:t xml:space="preserve"> она согласилась на три сценария</w:t>
      </w:r>
      <w:r w:rsidR="004C41A2">
        <w:rPr>
          <w:rFonts w:cs="Calibri"/>
          <w:color w:val="000000"/>
          <w:lang w:val="ru-RU"/>
        </w:rPr>
        <w:t xml:space="preserve"> по эластичности</w:t>
      </w:r>
      <w:r w:rsidRPr="000F4041">
        <w:rPr>
          <w:rFonts w:cs="Calibri"/>
          <w:color w:val="000000"/>
          <w:lang w:val="ru-RU"/>
        </w:rPr>
        <w:t>:</w:t>
      </w:r>
      <w:r w:rsidRPr="00E1370E">
        <w:rPr>
          <w:rFonts w:cs="Calibri"/>
          <w:color w:val="000000"/>
          <w:lang w:val="ru-RU"/>
        </w:rPr>
        <w:t xml:space="preserve"> 0,2, 0,5 и 1,0. Считать их нужно от новых притоков, а не от остатка по сроку: притоки сильнее реагируют на ставку. План берут последней утверждённой версией каждого месяца по дате утверждения. Версии одного месяца не суммируют, будущие не берут. Ноль пропусков в ставках она не принимает: нужно видеть число пропусков, число восстановленных значений и то, стояла в файле запятая или точка.</w:t>
      </w:r>
      <w:r w:rsidR="004C41A2" w:rsidRPr="00980FD5">
        <w:rPr>
          <w:lang w:val="ru-RU"/>
        </w:rPr>
        <w:t xml:space="preserve"> </w:t>
      </w:r>
    </w:p>
    <w:p w14:paraId="3EDDB54C" w14:textId="77777777" w:rsidR="002A16BA" w:rsidRDefault="00CA05D9" w:rsidP="00762948">
      <w:pPr>
        <w:rPr>
          <w:rFonts w:cs="Calibri"/>
          <w:color w:val="000000"/>
          <w:lang w:val="ru-RU"/>
        </w:rPr>
      </w:pPr>
      <w:r w:rsidRPr="00524E62">
        <w:rPr>
          <w:rFonts w:cstheme="majorBidi"/>
          <w:b/>
          <w:bCs/>
          <w:color w:val="365F91" w:themeColor="accent1" w:themeShade="BF"/>
          <w:sz w:val="26"/>
          <w:szCs w:val="26"/>
          <w:lang w:val="ru-RU"/>
        </w:rPr>
        <w:t>Казначейство (Михаил Орлов)</w:t>
      </w:r>
      <w:r w:rsidRPr="00753CC2">
        <w:rPr>
          <w:rFonts w:cs="Calibri"/>
          <w:color w:val="365F91" w:themeColor="accent1" w:themeShade="BF"/>
          <w:lang w:val="ru-RU"/>
        </w:rPr>
        <w:t xml:space="preserve"> </w:t>
      </w:r>
      <w:r w:rsidRPr="00CA05D9">
        <w:rPr>
          <w:rFonts w:cs="Calibri"/>
          <w:color w:val="000000"/>
          <w:lang w:val="ru-RU"/>
        </w:rPr>
        <w:t>держит стоимость розничных вкладов под внутренним экономическим лимитом. Это не норматив ЦБ, а правило для решений внутри банка. Обычно розницу дороже потолка не берут и переводят спрос в альтернативное фондирование до лимита 2 млрд ₽. Если лимит превышен, нужно отдельное одобрение правления: растёт зависимость от оптовых средств и репутационный риск по клиентам. Он согласен с Ириной Ковальчук: вклад на 181 день предпочтительнее для устойчивости и снижения стоимости пассивов. Короткий 91 быстрее набирает объём, но даёт больший риск, что деньги не продлятся, и сильнее качает стоимость. Буфером ликвидности он считает кассу, резервы и остатки на накопительных счетах. Лимит 2 млрд ₽ является запасным источником, а не самим буфером; на экране эта сумма уже входит в карточку буфера. Короткий вклад он надёжным буфером не считает.</w:t>
      </w:r>
      <w:r w:rsidR="002A16BA" w:rsidRPr="002A16BA">
        <w:rPr>
          <w:rFonts w:cs="Calibri"/>
          <w:color w:val="000000"/>
          <w:lang w:val="ru-RU"/>
        </w:rPr>
        <w:t xml:space="preserve"> </w:t>
      </w:r>
    </w:p>
    <w:p w14:paraId="37D240DB" w14:textId="48CBF96C" w:rsidR="00762948" w:rsidRDefault="00CA05D9" w:rsidP="00762948">
      <w:pPr>
        <w:rPr>
          <w:rFonts w:cs="Calibri"/>
          <w:color w:val="000000"/>
          <w:lang w:val="ru-RU"/>
        </w:rPr>
      </w:pPr>
      <w:r w:rsidRPr="002A16BA">
        <w:rPr>
          <w:rFonts w:cs="Calibri"/>
          <w:b/>
          <w:bCs/>
          <w:color w:val="000000"/>
          <w:lang w:val="ru-RU"/>
        </w:rPr>
        <w:t>Для стресса он предложил сценарий:</w:t>
      </w:r>
      <w:r w:rsidRPr="000F4041">
        <w:rPr>
          <w:rFonts w:cs="Calibri"/>
          <w:color w:val="000000"/>
          <w:lang w:val="ru-RU"/>
        </w:rPr>
        <w:t xml:space="preserve"> уходит один крупный клиент на 1 млрд ₽.</w:t>
      </w:r>
      <w:r w:rsidRPr="00CA05D9">
        <w:rPr>
          <w:rFonts w:cs="Calibri"/>
          <w:color w:val="000000"/>
          <w:lang w:val="ru-RU"/>
        </w:rPr>
        <w:t xml:space="preserve"> Тогда заново считают, хватает ли буфера на погашения ближайших 30, 90 и 180 дней и входит ли потребность в лимит альтернативного фондирования 2 млрд ₽. Покрытие смотрят по числу дней до погашения, а не по исходному сроку договора. </w:t>
      </w:r>
      <w:r w:rsidR="002A16BA">
        <w:rPr>
          <w:rFonts w:cs="Calibri"/>
          <w:color w:val="000000"/>
          <w:lang w:val="ru-RU"/>
        </w:rPr>
        <w:br/>
      </w:r>
      <w:r w:rsidRPr="002A16BA">
        <w:rPr>
          <w:rFonts w:cs="Calibri"/>
          <w:b/>
          <w:bCs/>
          <w:color w:val="000000"/>
          <w:lang w:val="ru-RU"/>
        </w:rPr>
        <w:t>Для отчётности погашения раскладывают по корзинам</w:t>
      </w:r>
      <w:r w:rsidRPr="00CA05D9">
        <w:rPr>
          <w:rFonts w:cs="Calibri"/>
          <w:color w:val="000000"/>
          <w:lang w:val="ru-RU"/>
        </w:rPr>
        <w:t xml:space="preserve"> 30, 90 и 180 дней, и в ближайшие 30 дней входят накопительные счета. По сроку самого договора отдельно видна линейка накопительных счетов, затем вклады на 91, 181 и 365 дней. </w:t>
      </w:r>
    </w:p>
    <w:p w14:paraId="4339A4B4" w14:textId="2F70E939" w:rsidR="00762948" w:rsidRDefault="00CA05D9" w:rsidP="00762948">
      <w:pPr>
        <w:rPr>
          <w:rFonts w:cs="Calibri"/>
          <w:color w:val="000000"/>
          <w:lang w:val="ru-RU"/>
        </w:rPr>
      </w:pPr>
      <w:r w:rsidRPr="00CA05D9">
        <w:rPr>
          <w:rFonts w:cs="Calibri"/>
          <w:color w:val="000000"/>
          <w:lang w:val="ru-RU"/>
        </w:rPr>
        <w:t xml:space="preserve">Срез берут на последнюю отчётную дату из остатков, а не на сегодняшний день. </w:t>
      </w:r>
      <w:r w:rsidR="002A16BA">
        <w:rPr>
          <w:rFonts w:cs="Calibri"/>
          <w:color w:val="000000"/>
          <w:lang w:val="ru-RU"/>
        </w:rPr>
        <w:br/>
      </w:r>
      <w:r w:rsidRPr="002A16BA">
        <w:rPr>
          <w:rFonts w:cs="Calibri"/>
          <w:b/>
          <w:bCs/>
          <w:color w:val="000000"/>
          <w:lang w:val="ru-RU"/>
        </w:rPr>
        <w:t xml:space="preserve">Отдельно </w:t>
      </w:r>
      <w:r w:rsidRPr="00CA05D9">
        <w:rPr>
          <w:rFonts w:cs="Calibri"/>
          <w:color w:val="000000"/>
          <w:lang w:val="ru-RU"/>
        </w:rPr>
        <w:t xml:space="preserve">он просил посмотреть, как изменится стоимость портфеля, если объём сдвинуть с 91 дня на </w:t>
      </w:r>
      <w:r w:rsidRPr="00CA05D9">
        <w:rPr>
          <w:rFonts w:cs="Calibri"/>
          <w:color w:val="000000"/>
          <w:lang w:val="ru-RU"/>
        </w:rPr>
        <w:lastRenderedPageBreak/>
        <w:t xml:space="preserve">181. В июле 2026 план </w:t>
      </w:r>
      <w:proofErr w:type="spellStart"/>
      <w:r w:rsidRPr="00CA05D9">
        <w:rPr>
          <w:rFonts w:cs="Calibri"/>
          <w:color w:val="000000"/>
          <w:lang w:val="ru-RU"/>
        </w:rPr>
        <w:t>переутверждали</w:t>
      </w:r>
      <w:proofErr w:type="spellEnd"/>
      <w:r w:rsidRPr="00CA05D9">
        <w:rPr>
          <w:rFonts w:cs="Calibri"/>
          <w:color w:val="000000"/>
          <w:lang w:val="ru-RU"/>
        </w:rPr>
        <w:t xml:space="preserve"> в основном из</w:t>
      </w:r>
      <w:r w:rsidRPr="00CA05D9">
        <w:rPr>
          <w:rFonts w:ascii="Cambria Math" w:hAnsi="Cambria Math" w:cs="Cambria Math"/>
          <w:color w:val="000000"/>
          <w:lang w:val="ru-RU"/>
        </w:rPr>
        <w:t>‑</w:t>
      </w:r>
      <w:proofErr w:type="gramStart"/>
      <w:r w:rsidRPr="00CA05D9">
        <w:rPr>
          <w:rFonts w:cs="Calibri"/>
          <w:color w:val="000000"/>
          <w:lang w:val="ru-RU"/>
        </w:rPr>
        <w:t>за объёма</w:t>
      </w:r>
      <w:proofErr w:type="gramEnd"/>
      <w:r w:rsidRPr="00CA05D9">
        <w:rPr>
          <w:rFonts w:cs="Calibri"/>
          <w:color w:val="000000"/>
          <w:lang w:val="ru-RU"/>
        </w:rPr>
        <w:t>. Рабочая цифра равна последней утверждённой версии, 20,38 млрд.</w:t>
      </w:r>
    </w:p>
    <w:p w14:paraId="25397A3B" w14:textId="77777777" w:rsidR="00524E62" w:rsidRDefault="00524E62" w:rsidP="00524E62">
      <w:pPr>
        <w:rPr>
          <w:rFonts w:cs="Calibri"/>
          <w:color w:val="000000"/>
          <w:lang w:val="ru-RU"/>
        </w:rPr>
      </w:pPr>
      <w:r w:rsidRPr="00524E62">
        <w:rPr>
          <w:rFonts w:cstheme="majorBidi"/>
          <w:b/>
          <w:bCs/>
          <w:color w:val="365F91" w:themeColor="accent1" w:themeShade="BF"/>
          <w:sz w:val="26"/>
          <w:szCs w:val="26"/>
          <w:lang w:val="ru-RU"/>
        </w:rPr>
        <w:t>Депозитный бизнес (Ирина Ковальчук)</w:t>
      </w:r>
      <w:r w:rsidRPr="00762948">
        <w:rPr>
          <w:rFonts w:cs="Calibri"/>
          <w:color w:val="17365D" w:themeColor="text2" w:themeShade="BF"/>
          <w:lang w:val="ru-RU"/>
        </w:rPr>
        <w:t xml:space="preserve"> </w:t>
      </w:r>
      <w:r w:rsidRPr="00E1370E">
        <w:rPr>
          <w:rFonts w:cs="Calibri"/>
          <w:color w:val="000000"/>
          <w:lang w:val="ru-RU"/>
        </w:rPr>
        <w:t xml:space="preserve">задаёт условия вкладов на 91 и 181 день. Годовой продукт на 367 дней она рассматривает отдельно и в эту тактику его не включает. Вклад на 91 день нужен, чтобы быстро набрать объём под план и закрыть краткосрочную ликвидность. Вклад на 181 день нужен, чтобы удержать клиента и снизить стоимость пассивов. Сдвиг портфеля в сторону 181 дня она подтвердила, как рабочую гипотезу. </w:t>
      </w:r>
    </w:p>
    <w:p w14:paraId="2912EA66" w14:textId="77777777" w:rsidR="00524E62" w:rsidRDefault="00524E62" w:rsidP="00524E62">
      <w:pPr>
        <w:rPr>
          <w:rFonts w:cs="Calibri"/>
          <w:color w:val="000000"/>
          <w:lang w:val="ru-RU"/>
        </w:rPr>
      </w:pPr>
      <w:r w:rsidRPr="00E1370E">
        <w:rPr>
          <w:rFonts w:cs="Calibri"/>
          <w:color w:val="000000"/>
          <w:lang w:val="ru-RU"/>
        </w:rPr>
        <w:t xml:space="preserve">После окончания вклада на 91 день она просит смотреть три исхода. </w:t>
      </w:r>
      <w:r>
        <w:rPr>
          <w:rFonts w:cs="Calibri"/>
          <w:color w:val="000000"/>
          <w:lang w:val="ru-RU"/>
        </w:rPr>
        <w:br/>
      </w:r>
      <w:r w:rsidRPr="000F4041">
        <w:rPr>
          <w:rFonts w:cs="Calibri"/>
          <w:b/>
          <w:bCs/>
          <w:color w:val="000000"/>
          <w:lang w:val="ru-RU"/>
        </w:rPr>
        <w:t>Первый:</w:t>
      </w:r>
      <w:r w:rsidRPr="00E1370E">
        <w:rPr>
          <w:rFonts w:cs="Calibri"/>
          <w:color w:val="000000"/>
          <w:lang w:val="ru-RU"/>
        </w:rPr>
        <w:t xml:space="preserve"> человек открыл новый вклад на 181 день. </w:t>
      </w:r>
      <w:r>
        <w:rPr>
          <w:rFonts w:cs="Calibri"/>
          <w:color w:val="000000"/>
          <w:lang w:val="ru-RU"/>
        </w:rPr>
        <w:br/>
      </w:r>
      <w:r w:rsidRPr="000F4041">
        <w:rPr>
          <w:rFonts w:cs="Calibri"/>
          <w:b/>
          <w:bCs/>
          <w:color w:val="000000"/>
          <w:lang w:val="ru-RU"/>
        </w:rPr>
        <w:t>Второй:</w:t>
      </w:r>
      <w:r w:rsidRPr="00E1370E">
        <w:rPr>
          <w:rFonts w:cs="Calibri"/>
          <w:color w:val="000000"/>
          <w:lang w:val="ru-RU"/>
        </w:rPr>
        <w:t xml:space="preserve"> деньги ушли на его собственный накопительный счёт в этом же банке. </w:t>
      </w:r>
      <w:r>
        <w:rPr>
          <w:rFonts w:cs="Calibri"/>
          <w:color w:val="000000"/>
          <w:lang w:val="ru-RU"/>
        </w:rPr>
        <w:br/>
      </w:r>
      <w:r w:rsidRPr="000F4041">
        <w:rPr>
          <w:rFonts w:cs="Calibri"/>
          <w:b/>
          <w:bCs/>
          <w:color w:val="000000"/>
          <w:lang w:val="ru-RU"/>
        </w:rPr>
        <w:t>Третий:</w:t>
      </w:r>
      <w:r w:rsidRPr="00E1370E">
        <w:rPr>
          <w:rFonts w:cs="Calibri"/>
          <w:color w:val="000000"/>
          <w:lang w:val="ru-RU"/>
        </w:rPr>
        <w:t xml:space="preserve"> всё остальное. </w:t>
      </w:r>
      <w:r>
        <w:rPr>
          <w:rFonts w:cs="Calibri"/>
          <w:color w:val="000000"/>
          <w:lang w:val="ru-RU"/>
        </w:rPr>
        <w:br/>
      </w:r>
      <w:r w:rsidRPr="00E1370E">
        <w:rPr>
          <w:rFonts w:cs="Calibri"/>
          <w:color w:val="000000"/>
          <w:lang w:val="ru-RU"/>
        </w:rPr>
        <w:t xml:space="preserve">Перевод со срочного вклада на собственный накопительный счёт не равен внешнему оттоку. Признак «новые деньги» в договорах проверяет, закрывался ли другой вклад за 14 дней, и накопительные счета при этом не видит. Поэтому колонку нельзя читать как свежие деньги с улицы. </w:t>
      </w:r>
      <w:r>
        <w:rPr>
          <w:rFonts w:cs="Calibri"/>
          <w:color w:val="000000"/>
          <w:lang w:val="ru-RU"/>
        </w:rPr>
        <w:br/>
      </w:r>
      <w:r w:rsidRPr="00E1370E">
        <w:rPr>
          <w:rFonts w:cs="Calibri"/>
          <w:color w:val="000000"/>
          <w:lang w:val="ru-RU"/>
        </w:rPr>
        <w:t>Маркетплейс и июньское промо она назвала проверками, а не отдельной работой.</w:t>
      </w:r>
    </w:p>
    <w:p w14:paraId="60EFD24C" w14:textId="4AC7B6CE" w:rsidR="002A16BA" w:rsidRPr="00B65BC5" w:rsidRDefault="002A16BA" w:rsidP="002A16BA">
      <w:pPr>
        <w:rPr>
          <w:color w:val="000000"/>
          <w:lang w:val="ru-RU"/>
        </w:rPr>
      </w:pPr>
      <w:r w:rsidRPr="00524E62">
        <w:rPr>
          <w:rFonts w:cstheme="majorBidi"/>
          <w:b/>
          <w:bCs/>
          <w:color w:val="365F91" w:themeColor="accent1" w:themeShade="BF"/>
          <w:sz w:val="26"/>
          <w:szCs w:val="26"/>
          <w:lang w:val="ru-RU"/>
        </w:rPr>
        <w:t>Депозитные операции (Павел Соколов)</w:t>
      </w:r>
      <w:r w:rsidRPr="002A16BA">
        <w:rPr>
          <w:color w:val="000000"/>
          <w:lang w:val="ru-RU"/>
        </w:rPr>
        <w:t xml:space="preserve"> ведёт факт по договорам и счетам. </w:t>
      </w:r>
      <w:r w:rsidR="00B65BC5">
        <w:rPr>
          <w:color w:val="000000"/>
          <w:lang w:val="ru-RU"/>
        </w:rPr>
        <w:br/>
      </w:r>
      <w:r w:rsidRPr="00B65BC5">
        <w:rPr>
          <w:b/>
          <w:bCs/>
          <w:color w:val="000000"/>
          <w:lang w:val="ru-RU"/>
        </w:rPr>
        <w:t>Самый надёжный маркер пролонгации</w:t>
      </w:r>
      <w:r w:rsidRPr="002A16BA">
        <w:rPr>
          <w:color w:val="000000"/>
          <w:lang w:val="ru-RU"/>
        </w:rPr>
        <w:t xml:space="preserve"> — новый договор, в поле «Договор-предшественник» стоит истекший вклад на 91 день. Поле «Статус» заполняют непоследовательно, поэтому его как факт пролонгации не используют. Правило </w:t>
      </w:r>
      <w:r>
        <w:rPr>
          <w:color w:val="000000"/>
        </w:rPr>
        <w:t>CRM</w:t>
      </w:r>
      <w:r w:rsidRPr="002A16BA">
        <w:rPr>
          <w:color w:val="000000"/>
          <w:lang w:val="ru-RU"/>
        </w:rPr>
        <w:t>-аналитики про новый вклад на 181 день в течение 30 дней от плановой даты окончания он подтвердил, как допустимый прокси для этой кампании. Рядом для проверки портфеля считают ту же долю по предшественнику.</w:t>
      </w:r>
    </w:p>
    <w:p w14:paraId="6B6397A1" w14:textId="77777777" w:rsidR="002A16BA" w:rsidRPr="002A16BA" w:rsidRDefault="002A16BA" w:rsidP="002A16BA">
      <w:pPr>
        <w:rPr>
          <w:lang w:val="ru-RU"/>
        </w:rPr>
      </w:pPr>
      <w:r w:rsidRPr="002A16BA">
        <w:rPr>
          <w:color w:val="000000"/>
          <w:lang w:val="ru-RU"/>
        </w:rPr>
        <w:t>Перевод со срочного вклада на собственный накопительный счёт в «Операции по счетам» фиксируется как внутреннее зачисление или перевод, иногда с пометкой «Возврат со вклада», и внешним оттоком не считается. Признак «новые деньги» смотрит закрытия вкладов за 14 дней и накопительные счета не учитывает. Внешние деньги от внутренних отличают по типу и направлению операции и по номерам счетов: если источник — счёт того же клиента, это внутреннее движение. Связь договоров с операциями по вкладам идёт по номеру договора, связь с остатками и операциями по счетам — по идентификатору клиента и номеру счёта. В остатках только месячные срезы. Один клиент может иметь несколько договоров.</w:t>
      </w:r>
    </w:p>
    <w:p w14:paraId="66BCFC83" w14:textId="4AEE9E2C" w:rsidR="002A16BA" w:rsidRPr="002A16BA" w:rsidRDefault="002A16BA" w:rsidP="002A16BA">
      <w:pPr>
        <w:rPr>
          <w:lang w:val="ru-RU"/>
        </w:rPr>
      </w:pPr>
      <w:r w:rsidRPr="00524E62">
        <w:rPr>
          <w:rFonts w:cstheme="majorBidi"/>
          <w:b/>
          <w:bCs/>
          <w:color w:val="365F91" w:themeColor="accent1" w:themeShade="BF"/>
          <w:sz w:val="26"/>
          <w:szCs w:val="26"/>
          <w:lang w:val="ru-RU"/>
        </w:rPr>
        <w:t>Генеральный директор (Алексей Воронцов)</w:t>
      </w:r>
      <w:r w:rsidRPr="002A16BA">
        <w:rPr>
          <w:color w:val="000000"/>
          <w:lang w:val="ru-RU"/>
        </w:rPr>
        <w:t xml:space="preserve"> смотрит один портфель розничных вкладов глазами пяти функций: объём, потолок фондирования, витрина, удержание и факт операций. Первыми на экране он хочет четыре цифры. </w:t>
      </w:r>
      <w:r>
        <w:rPr>
          <w:color w:val="000000"/>
        </w:rPr>
        <w:t>ROI</w:t>
      </w:r>
      <w:r w:rsidRPr="002A16BA">
        <w:rPr>
          <w:color w:val="000000"/>
          <w:lang w:val="ru-RU"/>
        </w:rPr>
        <w:t xml:space="preserve"> промо: прирост маржи от привлечённых и удержанных остатков за выбранный горизонт, например три месяца, минус затраты промо. </w:t>
      </w:r>
      <w:r w:rsidR="00524E62">
        <w:rPr>
          <w:color w:val="000000"/>
          <w:lang w:val="ru-RU"/>
        </w:rPr>
        <w:t>С</w:t>
      </w:r>
      <w:r w:rsidRPr="002A16BA">
        <w:rPr>
          <w:color w:val="000000"/>
          <w:lang w:val="ru-RU"/>
        </w:rPr>
        <w:t xml:space="preserve">редневзвешенная стоимость розничных вкладов. </w:t>
      </w:r>
      <w:r w:rsidR="00524E62">
        <w:rPr>
          <w:color w:val="000000"/>
          <w:lang w:val="ru-RU"/>
        </w:rPr>
        <w:t>У</w:t>
      </w:r>
      <w:r w:rsidRPr="002A16BA">
        <w:rPr>
          <w:color w:val="000000"/>
          <w:lang w:val="ru-RU"/>
        </w:rPr>
        <w:t>держание и пролонгация с разделением внутренних переводов и внешнего оттока.</w:t>
      </w:r>
      <w:r w:rsidR="00524E62">
        <w:rPr>
          <w:color w:val="000000"/>
          <w:lang w:val="ru-RU"/>
        </w:rPr>
        <w:t xml:space="preserve"> Н</w:t>
      </w:r>
      <w:r w:rsidRPr="002A16BA">
        <w:rPr>
          <w:color w:val="000000"/>
          <w:lang w:val="ru-RU"/>
        </w:rPr>
        <w:t>асколько использован лимит альтернативного фондирования.</w:t>
      </w:r>
    </w:p>
    <w:p w14:paraId="773775E5" w14:textId="68C4C051" w:rsidR="00B65BC5" w:rsidRDefault="002A16BA" w:rsidP="00B65BC5">
      <w:pPr>
        <w:rPr>
          <w:color w:val="000000"/>
          <w:lang w:val="ru-RU"/>
        </w:rPr>
      </w:pPr>
      <w:r w:rsidRPr="002A16BA">
        <w:rPr>
          <w:color w:val="000000"/>
          <w:lang w:val="ru-RU"/>
        </w:rPr>
        <w:t>Ему важны разрезы по сроку вклада 91 и 181, по кампании, сегменту, каналу привлечения, признаку «новые деньги» против внутреннего перевода, по размеру вклада и по менеджеру для крупных клиентов. Фильтры — период, продукт, кампания, сегмент, канал, диапазон сумм и признак внешнего либо внутреннего перевода. Сверху карточки этих четырёх цифр, ниже линейные тренды и столбцы состава. Маркетинговый бюджет по кампаниям он разрешил запросить у Анны Беловой.</w:t>
      </w:r>
    </w:p>
    <w:p w14:paraId="5F12C49B" w14:textId="1755711C" w:rsidR="004C41A2" w:rsidRDefault="004C41A2" w:rsidP="00B65BC5">
      <w:pPr>
        <w:rPr>
          <w:color w:val="000000"/>
          <w:lang w:val="ru-RU"/>
        </w:rPr>
      </w:pPr>
      <w:r>
        <w:rPr>
          <w:rFonts w:cstheme="majorBidi"/>
          <w:b/>
          <w:bCs/>
          <w:color w:val="365F91" w:themeColor="accent1" w:themeShade="BF"/>
          <w:sz w:val="26"/>
          <w:szCs w:val="26"/>
          <w:lang w:val="ru-RU"/>
        </w:rPr>
        <w:lastRenderedPageBreak/>
        <w:t>Итог</w:t>
      </w:r>
    </w:p>
    <w:p w14:paraId="11F6E48D" w14:textId="1B65D12D" w:rsidR="004C41A2" w:rsidRPr="004C41A2" w:rsidRDefault="004C41A2" w:rsidP="00B65BC5">
      <w:pPr>
        <w:rPr>
          <w:color w:val="000000"/>
          <w:lang w:val="ru-RU"/>
        </w:rPr>
      </w:pPr>
      <w:r w:rsidRPr="004C41A2">
        <w:rPr>
          <w:color w:val="000000"/>
          <w:lang w:val="ru-RU"/>
        </w:rPr>
        <w:t xml:space="preserve">Все описанные требования были реализованы в шести связанных </w:t>
      </w:r>
      <w:proofErr w:type="spellStart"/>
      <w:r w:rsidRPr="004C41A2">
        <w:rPr>
          <w:color w:val="000000"/>
          <w:lang w:val="ru-RU"/>
        </w:rPr>
        <w:t>дашбордах</w:t>
      </w:r>
      <w:proofErr w:type="spellEnd"/>
      <w:r w:rsidRPr="004C41A2">
        <w:rPr>
          <w:color w:val="000000"/>
          <w:lang w:val="ru-RU"/>
        </w:rPr>
        <w:t>. Каждый дашборд закрывает задачи конкретного стейкхолдера: кампании (Анна), рынок (Елена), ликвидность (Михаил), детализация (Павел/Ирина) и два What-If симулятора (для сценариев Елены и стресс-тестов Михаила). Связка дашбордов позволяет Генеральному директору (Алексею) видеть единую картину портфеля, не переключаясь между отчетами подразделений</w:t>
      </w:r>
    </w:p>
    <w:p w14:paraId="015E6B7B" w14:textId="44635267" w:rsidR="002A16BA" w:rsidRPr="002A16BA" w:rsidRDefault="00B65BC5" w:rsidP="002A16BA">
      <w:pPr>
        <w:rPr>
          <w:lang w:val="ru-RU"/>
        </w:rPr>
      </w:pPr>
      <w:r w:rsidRPr="00B65BC5">
        <w:rPr>
          <w:b/>
          <w:bCs/>
          <w:i/>
          <w:iCs/>
          <w:color w:val="365F91" w:themeColor="accent1" w:themeShade="BF"/>
          <w:sz w:val="24"/>
          <w:szCs w:val="24"/>
          <w:lang w:val="ru-RU"/>
        </w:rPr>
        <w:t>Примечание:</w:t>
      </w:r>
      <w:r>
        <w:rPr>
          <w:lang w:val="ru-RU"/>
        </w:rPr>
        <w:br/>
      </w:r>
      <w:r w:rsidR="002A16BA" w:rsidRPr="00B65BC5">
        <w:rPr>
          <w:sz w:val="24"/>
          <w:szCs w:val="24"/>
          <w:lang w:val="ru-RU"/>
        </w:rPr>
        <w:t>Полная переписка с руководителями подразделений находится в файле</w:t>
      </w:r>
      <w:r w:rsidR="002A16BA">
        <w:rPr>
          <w:lang w:val="ru-RU"/>
        </w:rPr>
        <w:t xml:space="preserve"> – </w:t>
      </w:r>
      <w:r w:rsidR="00980FD5" w:rsidRPr="00980FD5">
        <w:rPr>
          <w:color w:val="4F81BD" w:themeColor="accent1"/>
          <w:lang w:val="ru-RU"/>
        </w:rPr>
        <w:t>10</w:t>
      </w:r>
      <w:r w:rsidR="00980FD5">
        <w:rPr>
          <w:lang w:val="ru-RU"/>
        </w:rPr>
        <w:t>_</w:t>
      </w:r>
      <w:r w:rsidR="002A16BA" w:rsidRPr="002A16BA">
        <w:rPr>
          <w:color w:val="365F91" w:themeColor="accent1" w:themeShade="BF"/>
          <w:sz w:val="24"/>
          <w:szCs w:val="24"/>
          <w:lang w:val="ru-RU"/>
        </w:rPr>
        <w:t>Коммуникация.</w:t>
      </w:r>
      <w:r w:rsidR="002A16BA" w:rsidRPr="002A16BA">
        <w:rPr>
          <w:color w:val="365F91" w:themeColor="accent1" w:themeShade="BF"/>
          <w:sz w:val="24"/>
          <w:szCs w:val="24"/>
        </w:rPr>
        <w:t>do</w:t>
      </w:r>
      <w:r w:rsidR="002A16BA">
        <w:rPr>
          <w:color w:val="365F91" w:themeColor="accent1" w:themeShade="BF"/>
          <w:sz w:val="24"/>
          <w:szCs w:val="24"/>
        </w:rPr>
        <w:t>cx</w:t>
      </w:r>
    </w:p>
    <w:sectPr w:rsidR="002A16BA" w:rsidRPr="002A16BA" w:rsidSect="00631136">
      <w:pgSz w:w="12240" w:h="15840"/>
      <w:pgMar w:top="85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B2A155F"/>
    <w:multiLevelType w:val="hybridMultilevel"/>
    <w:tmpl w:val="069C0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660"/>
    <w:rsid w:val="0006063C"/>
    <w:rsid w:val="000F4041"/>
    <w:rsid w:val="00103698"/>
    <w:rsid w:val="00104D83"/>
    <w:rsid w:val="0015074B"/>
    <w:rsid w:val="002011FF"/>
    <w:rsid w:val="002618B3"/>
    <w:rsid w:val="0029639D"/>
    <w:rsid w:val="002A16BA"/>
    <w:rsid w:val="00302425"/>
    <w:rsid w:val="00302A97"/>
    <w:rsid w:val="0031686C"/>
    <w:rsid w:val="00326F90"/>
    <w:rsid w:val="00396C65"/>
    <w:rsid w:val="00423DC0"/>
    <w:rsid w:val="004A1EA7"/>
    <w:rsid w:val="004C41A2"/>
    <w:rsid w:val="004E52B9"/>
    <w:rsid w:val="00524E62"/>
    <w:rsid w:val="00572CB7"/>
    <w:rsid w:val="00624B56"/>
    <w:rsid w:val="00631136"/>
    <w:rsid w:val="006A4499"/>
    <w:rsid w:val="006B39D8"/>
    <w:rsid w:val="006B5312"/>
    <w:rsid w:val="006F717A"/>
    <w:rsid w:val="0073718B"/>
    <w:rsid w:val="00740498"/>
    <w:rsid w:val="00746F53"/>
    <w:rsid w:val="00753CC2"/>
    <w:rsid w:val="00762948"/>
    <w:rsid w:val="00804A7D"/>
    <w:rsid w:val="00844801"/>
    <w:rsid w:val="00943EDE"/>
    <w:rsid w:val="009805AD"/>
    <w:rsid w:val="00980FD5"/>
    <w:rsid w:val="009E38A6"/>
    <w:rsid w:val="00A43B29"/>
    <w:rsid w:val="00A76899"/>
    <w:rsid w:val="00AA1D8D"/>
    <w:rsid w:val="00B111A4"/>
    <w:rsid w:val="00B115D8"/>
    <w:rsid w:val="00B36648"/>
    <w:rsid w:val="00B47730"/>
    <w:rsid w:val="00B65BC5"/>
    <w:rsid w:val="00B72723"/>
    <w:rsid w:val="00BB4060"/>
    <w:rsid w:val="00C173BE"/>
    <w:rsid w:val="00C2418F"/>
    <w:rsid w:val="00C313F5"/>
    <w:rsid w:val="00CA05D9"/>
    <w:rsid w:val="00CA77CD"/>
    <w:rsid w:val="00CB0664"/>
    <w:rsid w:val="00D07F72"/>
    <w:rsid w:val="00DA189D"/>
    <w:rsid w:val="00DC2F92"/>
    <w:rsid w:val="00DC4326"/>
    <w:rsid w:val="00DF7171"/>
    <w:rsid w:val="00E1370E"/>
    <w:rsid w:val="00E72B84"/>
    <w:rsid w:val="00E75B22"/>
    <w:rsid w:val="00E76827"/>
    <w:rsid w:val="00EB1FF8"/>
    <w:rsid w:val="00F27E7E"/>
    <w:rsid w:val="00F40842"/>
    <w:rsid w:val="00F64865"/>
    <w:rsid w:val="00FC693F"/>
    <w:rsid w:val="00FF1306"/>
    <w:rsid w:val="00FF5F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7B279"/>
  <w14:defaultImageDpi w14:val="300"/>
  <w15:docId w15:val="{4DD3EEFF-2D7C-4338-84B3-79AD7B82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11827"/>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11827"/>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11827"/>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i-markdownparagraph">
    <w:name w:val="ui-markdown__paragraph"/>
    <w:basedOn w:val="a1"/>
    <w:rsid w:val="009E38A6"/>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font-semibold">
    <w:name w:val="font-semibold"/>
    <w:basedOn w:val="a2"/>
    <w:rsid w:val="009E38A6"/>
  </w:style>
  <w:style w:type="character" w:styleId="HTML">
    <w:name w:val="HTML Code"/>
    <w:basedOn w:val="a2"/>
    <w:uiPriority w:val="99"/>
    <w:semiHidden/>
    <w:unhideWhenUsed/>
    <w:rsid w:val="009E38A6"/>
    <w:rPr>
      <w:rFonts w:ascii="Courier New" w:eastAsia="Times New Roman" w:hAnsi="Courier New" w:cs="Courier New"/>
      <w:sz w:val="20"/>
      <w:szCs w:val="20"/>
    </w:rPr>
  </w:style>
  <w:style w:type="paragraph" w:customStyle="1" w:styleId="whitespace-pre-wrap">
    <w:name w:val="whitespace-pre-wrap"/>
    <w:basedOn w:val="a1"/>
    <w:rsid w:val="002618B3"/>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847591">
      <w:bodyDiv w:val="1"/>
      <w:marLeft w:val="0"/>
      <w:marRight w:val="0"/>
      <w:marTop w:val="0"/>
      <w:marBottom w:val="0"/>
      <w:divBdr>
        <w:top w:val="none" w:sz="0" w:space="0" w:color="auto"/>
        <w:left w:val="none" w:sz="0" w:space="0" w:color="auto"/>
        <w:bottom w:val="none" w:sz="0" w:space="0" w:color="auto"/>
        <w:right w:val="none" w:sz="0" w:space="0" w:color="auto"/>
      </w:divBdr>
      <w:divsChild>
        <w:div w:id="482427245">
          <w:marLeft w:val="0"/>
          <w:marRight w:val="0"/>
          <w:marTop w:val="0"/>
          <w:marBottom w:val="0"/>
          <w:divBdr>
            <w:top w:val="single" w:sz="2" w:space="0" w:color="DCE3E9"/>
            <w:left w:val="single" w:sz="2" w:space="0" w:color="DCE3E9"/>
            <w:bottom w:val="single" w:sz="2" w:space="0" w:color="DCE3E9"/>
            <w:right w:val="single" w:sz="2" w:space="0" w:color="DCE3E9"/>
          </w:divBdr>
        </w:div>
      </w:divsChild>
    </w:div>
    <w:div w:id="374156993">
      <w:bodyDiv w:val="1"/>
      <w:marLeft w:val="0"/>
      <w:marRight w:val="0"/>
      <w:marTop w:val="0"/>
      <w:marBottom w:val="0"/>
      <w:divBdr>
        <w:top w:val="none" w:sz="0" w:space="0" w:color="auto"/>
        <w:left w:val="none" w:sz="0" w:space="0" w:color="auto"/>
        <w:bottom w:val="none" w:sz="0" w:space="0" w:color="auto"/>
        <w:right w:val="none" w:sz="0" w:space="0" w:color="auto"/>
      </w:divBdr>
    </w:div>
    <w:div w:id="424570998">
      <w:bodyDiv w:val="1"/>
      <w:marLeft w:val="0"/>
      <w:marRight w:val="0"/>
      <w:marTop w:val="0"/>
      <w:marBottom w:val="0"/>
      <w:divBdr>
        <w:top w:val="none" w:sz="0" w:space="0" w:color="auto"/>
        <w:left w:val="none" w:sz="0" w:space="0" w:color="auto"/>
        <w:bottom w:val="none" w:sz="0" w:space="0" w:color="auto"/>
        <w:right w:val="none" w:sz="0" w:space="0" w:color="auto"/>
      </w:divBdr>
      <w:divsChild>
        <w:div w:id="1476609023">
          <w:marLeft w:val="0"/>
          <w:marRight w:val="0"/>
          <w:marTop w:val="0"/>
          <w:marBottom w:val="0"/>
          <w:divBdr>
            <w:top w:val="single" w:sz="2" w:space="0" w:color="DCE3E9"/>
            <w:left w:val="single" w:sz="2" w:space="0" w:color="DCE3E9"/>
            <w:bottom w:val="single" w:sz="2" w:space="0" w:color="DCE3E9"/>
            <w:right w:val="single" w:sz="2" w:space="0" w:color="DCE3E9"/>
          </w:divBdr>
        </w:div>
      </w:divsChild>
    </w:div>
    <w:div w:id="468204292">
      <w:bodyDiv w:val="1"/>
      <w:marLeft w:val="0"/>
      <w:marRight w:val="0"/>
      <w:marTop w:val="0"/>
      <w:marBottom w:val="0"/>
      <w:divBdr>
        <w:top w:val="none" w:sz="0" w:space="0" w:color="auto"/>
        <w:left w:val="none" w:sz="0" w:space="0" w:color="auto"/>
        <w:bottom w:val="none" w:sz="0" w:space="0" w:color="auto"/>
        <w:right w:val="none" w:sz="0" w:space="0" w:color="auto"/>
      </w:divBdr>
    </w:div>
    <w:div w:id="1521159125">
      <w:bodyDiv w:val="1"/>
      <w:marLeft w:val="0"/>
      <w:marRight w:val="0"/>
      <w:marTop w:val="0"/>
      <w:marBottom w:val="0"/>
      <w:divBdr>
        <w:top w:val="none" w:sz="0" w:space="0" w:color="auto"/>
        <w:left w:val="none" w:sz="0" w:space="0" w:color="auto"/>
        <w:bottom w:val="none" w:sz="0" w:space="0" w:color="auto"/>
        <w:right w:val="none" w:sz="0" w:space="0" w:color="auto"/>
      </w:divBdr>
    </w:div>
    <w:div w:id="1622953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Pages>
  <Words>1426</Words>
  <Characters>8129</Characters>
  <Application>Microsoft Office Word</Application>
  <DocSecurity>0</DocSecurity>
  <Lines>67</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Елена Трацевская</cp:lastModifiedBy>
  <cp:revision>18</cp:revision>
  <dcterms:created xsi:type="dcterms:W3CDTF">2026-10-20T09:32:00Z</dcterms:created>
  <dcterms:modified xsi:type="dcterms:W3CDTF">2026-10-23T15:05:00Z</dcterms:modified>
  <cp:category/>
</cp:coreProperties>
</file>