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ESAV_T6b_INTERFACES_VIDEO_DIGITAL_SDI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¿Dónde se ubica el espacio destinado a los datos auxiliares HANC?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6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Al principio de la línea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Después de los códigos SAV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1440" w:hanging="360"/>
        <w:rPr>
          <w:color w:val="4a86e8"/>
          <w:highlight w:val="yellow"/>
        </w:rPr>
      </w:pPr>
      <w:r w:rsidDel="00000000" w:rsidR="00000000" w:rsidRPr="00000000">
        <w:rPr>
          <w:color w:val="4a86e8"/>
          <w:highlight w:val="yellow"/>
          <w:rtl w:val="0"/>
        </w:rPr>
        <w:t xml:space="preserve">Después de los códigos EAV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Al final de la línea</w:t>
      </w:r>
    </w:p>
    <w:p w:rsidR="00000000" w:rsidDel="00000000" w:rsidP="00000000" w:rsidRDefault="00000000" w:rsidRPr="00000000" w14:paraId="00000008">
      <w:pPr>
        <w:pageBreakBefore w:val="0"/>
        <w:rPr>
          <w:color w:val="4a86e8"/>
        </w:rPr>
      </w:pPr>
      <w:r w:rsidDel="00000000" w:rsidR="00000000" w:rsidRPr="00000000">
        <w:rPr>
          <w:color w:val="4a86e8"/>
        </w:rPr>
        <mc:AlternateContent>
          <mc:Choice Requires="wpg">
            <w:drawing>
              <wp:inline distB="114300" distT="114300" distL="114300" distR="114300">
                <wp:extent cx="5731200" cy="2374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2374900"/>
                          <a:chOff x="152400" y="152400"/>
                          <a:chExt cx="6553200" cy="2708173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553200" cy="2708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 rot="10800000">
                            <a:off x="1042475" y="924400"/>
                            <a:ext cx="10425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0725" y="973625"/>
                            <a:ext cx="49200" cy="35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475200" y="1268675"/>
                            <a:ext cx="796500" cy="1534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2857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374900"/>
                <wp:effectExtent b="0" l="0" r="0" t="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37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organismo regula la introducción del audio digital en la capa de aplicación del interfaz SDI?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ITU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ind w:left="1440" w:hanging="360"/>
        <w:rPr>
          <w:color w:val="4a86e8"/>
          <w:highlight w:val="yellow"/>
        </w:rPr>
      </w:pPr>
      <w:r w:rsidDel="00000000" w:rsidR="00000000" w:rsidRPr="00000000">
        <w:rPr>
          <w:color w:val="4a86e8"/>
          <w:highlight w:val="yellow"/>
          <w:rtl w:val="0"/>
        </w:rPr>
        <w:t xml:space="preserve">SMPTE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ITU y SMPTE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Ninguno de los anteriores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5591175" cy="34956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249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dato EDH sirve para…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Indicar el final de una línea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Indicar el comienzo de un nuevo Frame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ind w:left="1440" w:hanging="360"/>
        <w:rPr>
          <w:color w:val="4a86e8"/>
          <w:highlight w:val="yellow"/>
        </w:rPr>
      </w:pPr>
      <w:r w:rsidDel="00000000" w:rsidR="00000000" w:rsidRPr="00000000">
        <w:rPr>
          <w:color w:val="4a86e8"/>
          <w:highlight w:val="yellow"/>
          <w:rtl w:val="0"/>
        </w:rPr>
        <w:t xml:space="preserve">La detección y la gestión de errores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Introducir datos auxiliares</w:t>
      </w:r>
    </w:p>
    <w:p w:rsidR="00000000" w:rsidDel="00000000" w:rsidP="00000000" w:rsidRDefault="00000000" w:rsidRPr="00000000" w14:paraId="00000016">
      <w:pPr>
        <w:pageBreakBefore w:val="0"/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5731200" cy="609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inserción de los datos de audio digital se incrusta…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1440" w:hanging="360"/>
        <w:rPr>
          <w:color w:val="4a86e8"/>
          <w:highlight w:val="yellow"/>
        </w:rPr>
      </w:pPr>
      <w:r w:rsidDel="00000000" w:rsidR="00000000" w:rsidRPr="00000000">
        <w:rPr>
          <w:color w:val="4a86e8"/>
          <w:highlight w:val="yellow"/>
          <w:rtl w:val="0"/>
        </w:rPr>
        <w:t xml:space="preserve">En el HANC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En el VANC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Puede ir en el HANC o en el VANC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Después del SAV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5731200" cy="53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campo que identifica fundamentalmente las aplicaciones de audio se denomina…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ADF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1440" w:hanging="360"/>
        <w:rPr>
          <w:color w:val="4a86e8"/>
          <w:highlight w:val="yellow"/>
        </w:rPr>
      </w:pPr>
      <w:r w:rsidDel="00000000" w:rsidR="00000000" w:rsidRPr="00000000">
        <w:rPr>
          <w:color w:val="4a86e8"/>
          <w:highlight w:val="yellow"/>
          <w:rtl w:val="0"/>
        </w:rPr>
        <w:t xml:space="preserve">DID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SDID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UDW</w:t>
      </w:r>
    </w:p>
    <w:p w:rsidR="00000000" w:rsidDel="00000000" w:rsidP="00000000" w:rsidRDefault="00000000" w:rsidRPr="00000000" w14:paraId="00000023">
      <w:pPr>
        <w:pageBreakBefore w:val="0"/>
        <w:ind w:left="144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El más importante.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5731200" cy="2895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amplitud de la señal en un vectorscopio informa sobre…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La luminancia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El tono </w:t>
      </w:r>
      <w:r w:rsidDel="00000000" w:rsidR="00000000" w:rsidRPr="00000000">
        <w:rPr>
          <w:i w:val="1"/>
          <w:color w:val="4a86e8"/>
          <w:rtl w:val="0"/>
        </w:rPr>
        <w:t xml:space="preserve">/representado por la fase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1440" w:hanging="360"/>
        <w:rPr>
          <w:color w:val="4a86e8"/>
          <w:highlight w:val="yellow"/>
        </w:rPr>
      </w:pPr>
      <w:r w:rsidDel="00000000" w:rsidR="00000000" w:rsidRPr="00000000">
        <w:rPr>
          <w:color w:val="4a86e8"/>
          <w:highlight w:val="yellow"/>
          <w:rtl w:val="0"/>
        </w:rPr>
        <w:t xml:space="preserve">La saturación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La transparencia</w:t>
      </w:r>
    </w:p>
    <w:p w:rsidR="00000000" w:rsidDel="00000000" w:rsidP="00000000" w:rsidRDefault="00000000" w:rsidRPr="00000000" w14:paraId="0000002B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¿Sobre qué tipo de error nos puede informar la pantalla "Diamond"?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829300" cy="76112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44366" l="22425" r="29568" t="4445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61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retardo y la diferencia de ganancia entre componentes se puede detectar con …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8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El monitor Waveform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8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El arrowhead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8"/>
        </w:numPr>
        <w:ind w:left="1440" w:hanging="360"/>
        <w:rPr>
          <w:color w:val="4a86e8"/>
          <w:highlight w:val="yellow"/>
        </w:rPr>
      </w:pPr>
      <w:r w:rsidDel="00000000" w:rsidR="00000000" w:rsidRPr="00000000">
        <w:rPr>
          <w:color w:val="4a86e8"/>
          <w:highlight w:val="yellow"/>
          <w:rtl w:val="0"/>
        </w:rPr>
        <w:t xml:space="preserve">El Lightning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8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El PLL</w:t>
      </w:r>
    </w:p>
    <w:p w:rsidR="00000000" w:rsidDel="00000000" w:rsidP="00000000" w:rsidRDefault="00000000" w:rsidRPr="00000000" w14:paraId="00000035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4a86e8"/>
        </w:rPr>
      </w:pPr>
      <w:r w:rsidDel="00000000" w:rsidR="00000000" w:rsidRPr="00000000">
        <w:rPr/>
        <w:drawing>
          <wp:inline distB="114300" distT="114300" distL="114300" distR="114300">
            <wp:extent cx="5811408" cy="71913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35398" l="21926" r="28405" t="53687"/>
                    <a:stretch>
                      <a:fillRect/>
                    </a:stretch>
                  </pic:blipFill>
                  <pic:spPr>
                    <a:xfrm>
                      <a:off x="0" y="0"/>
                      <a:ext cx="5811408" cy="71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través de un cable coaxial se reciben de forma consecutiva los siguientes valores de tensión: 800 mv, 775 mv, 770 mv 780 mv, 770 mv. Obtenga el valor de la atenuación en dB.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Hacemos la media 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(800+775+770+780+770)/5= 779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10*log10(779/800)= -0.12 //no puede dar un valor positivo porque si no estaríamos amplificando.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38350" cy="5048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 señal patológica es también conocida como…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9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PLL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9"/>
        </w:numPr>
        <w:ind w:left="144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Pathological signal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9"/>
        </w:numPr>
        <w:ind w:left="1440" w:hanging="360"/>
        <w:rPr>
          <w:color w:val="4a86e8"/>
          <w:highlight w:val="yellow"/>
        </w:rPr>
      </w:pPr>
      <w:r w:rsidDel="00000000" w:rsidR="00000000" w:rsidRPr="00000000">
        <w:rPr>
          <w:color w:val="4a86e8"/>
          <w:highlight w:val="yellow"/>
          <w:rtl w:val="0"/>
        </w:rPr>
        <w:t xml:space="preserve">Check Field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9"/>
        </w:numPr>
        <w:ind w:left="144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Jitter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272541" cy="1115586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34997" l="22259" r="28239" t="49445"/>
                    <a:stretch>
                      <a:fillRect/>
                    </a:stretch>
                  </pic:blipFill>
                  <pic:spPr>
                    <a:xfrm>
                      <a:off x="0" y="0"/>
                      <a:ext cx="6272541" cy="1115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