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D8AC5">
      <w:pPr>
        <w:spacing w:before="1300"/>
        <w:jc w:val="center"/>
      </w:pPr>
      <w:r>
        <w:rPr>
          <w:rFonts w:ascii="Aptos Display" w:hAnsi="Aptos Display"/>
          <w:b/>
          <w:color w:val="17324D"/>
          <w:sz w:val="60"/>
        </w:rPr>
        <w:t>Machine Learning</w:t>
      </w:r>
      <w:r>
        <w:rPr>
          <w:rFonts w:ascii="Aptos Display" w:hAnsi="Aptos Display"/>
          <w:b/>
          <w:color w:val="17324D"/>
          <w:sz w:val="60"/>
        </w:rPr>
        <w:br w:type="textWrapping"/>
      </w:r>
      <w:r>
        <w:rPr>
          <w:rFonts w:ascii="Aptos Display" w:hAnsi="Aptos Display"/>
          <w:b/>
          <w:color w:val="17324D"/>
          <w:sz w:val="60"/>
        </w:rPr>
        <w:t>Classification Pipeline</w:t>
      </w:r>
    </w:p>
    <w:p w14:paraId="2AAFF192">
      <w:pPr>
        <w:jc w:val="center"/>
      </w:pPr>
      <w:r>
        <w:rPr>
          <w:rFonts w:ascii="Aptos" w:hAnsi="Aptos"/>
          <w:b/>
          <w:color w:val="2E6F9E"/>
          <w:sz w:val="34"/>
        </w:rPr>
        <w:t>Architecture, Methodology and User Manual</w:t>
      </w:r>
    </w:p>
    <w:p w14:paraId="5FF18D26">
      <w:pPr>
        <w:spacing w:before="240"/>
        <w:jc w:val="center"/>
      </w:pPr>
      <w:r>
        <w:rPr>
          <w:rFonts w:ascii="Aptos" w:hAnsi="Aptos"/>
          <w:color w:val="6B7780"/>
          <w:sz w:val="24"/>
        </w:rPr>
        <w:t>Geospatial / parcel-level multiclass classification</w:t>
      </w:r>
    </w:p>
    <w:p w14:paraId="370C32AF">
      <w:pPr>
        <w:jc w:val="center"/>
      </w:pPr>
      <w:r>
        <w:drawing>
          <wp:inline distT="0" distB="0" distL="114300" distR="114300">
            <wp:extent cx="6400800" cy="27793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00800" cy="2779719"/>
                    </a:xfrm>
                    <a:prstGeom prst="rect">
                      <a:avLst/>
                    </a:prstGeom>
                  </pic:spPr>
                </pic:pic>
              </a:graphicData>
            </a:graphic>
          </wp:inline>
        </w:drawing>
      </w:r>
    </w:p>
    <w:p w14:paraId="26FE5389">
      <w:pPr>
        <w:spacing w:after="160"/>
        <w:jc w:val="center"/>
      </w:pPr>
      <w:r>
        <w:rPr>
          <w:rFonts w:ascii="Aptos" w:hAnsi="Aptos"/>
          <w:i/>
          <w:color w:val="6B7780"/>
          <w:sz w:val="17"/>
        </w:rPr>
        <w:t>Architecture overview of the implemented five-stage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E22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0D8433A1">
            <w:pPr>
              <w:spacing w:after="0" w:line="240" w:lineRule="auto"/>
            </w:pPr>
            <w:r>
              <w:rPr>
                <w:rFonts w:ascii="Aptos" w:hAnsi="Aptos"/>
                <w:b/>
                <w:color w:val="27343D"/>
                <w:sz w:val="18"/>
              </w:rPr>
              <w:t>Document type</w:t>
            </w:r>
          </w:p>
        </w:tc>
        <w:tc>
          <w:tcPr>
            <w:tcW w:w="5040" w:type="dxa"/>
            <w:tcMar>
              <w:top w:w="100" w:type="dxa"/>
              <w:left w:w="100" w:type="dxa"/>
              <w:bottom w:w="100" w:type="dxa"/>
              <w:right w:w="100" w:type="dxa"/>
            </w:tcMar>
          </w:tcPr>
          <w:p w14:paraId="754F136F">
            <w:pPr>
              <w:spacing w:after="0" w:line="240" w:lineRule="auto"/>
            </w:pPr>
            <w:r>
              <w:rPr>
                <w:rFonts w:ascii="Aptos" w:hAnsi="Aptos"/>
                <w:b w:val="0"/>
                <w:color w:val="27343D"/>
                <w:sz w:val="18"/>
              </w:rPr>
              <w:t>Architectural design + operational manual</w:t>
            </w:r>
          </w:p>
        </w:tc>
      </w:tr>
      <w:tr w14:paraId="6738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3C26B614">
            <w:pPr>
              <w:spacing w:after="0" w:line="240" w:lineRule="auto"/>
            </w:pPr>
            <w:r>
              <w:rPr>
                <w:rFonts w:ascii="Aptos" w:hAnsi="Aptos"/>
                <w:b/>
                <w:color w:val="27343D"/>
                <w:sz w:val="18"/>
              </w:rPr>
              <w:t>Source basis</w:t>
            </w:r>
          </w:p>
        </w:tc>
        <w:tc>
          <w:tcPr>
            <w:tcW w:w="5040" w:type="dxa"/>
            <w:tcMar>
              <w:top w:w="100" w:type="dxa"/>
              <w:left w:w="100" w:type="dxa"/>
              <w:bottom w:w="100" w:type="dxa"/>
              <w:right w:w="100" w:type="dxa"/>
            </w:tcMar>
          </w:tcPr>
          <w:p w14:paraId="0CADBE1D">
            <w:pPr>
              <w:spacing w:after="0" w:line="240" w:lineRule="auto"/>
            </w:pPr>
            <w:r>
              <w:t>Latest uploaded implementation (src(4).zip)</w:t>
            </w:r>
          </w:p>
        </w:tc>
      </w:tr>
      <w:tr w14:paraId="2495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4BE86D77">
            <w:pPr>
              <w:spacing w:after="0" w:line="240" w:lineRule="auto"/>
            </w:pPr>
            <w:r>
              <w:rPr>
                <w:rFonts w:ascii="Aptos" w:hAnsi="Aptos"/>
                <w:b/>
                <w:color w:val="27343D"/>
                <w:sz w:val="18"/>
              </w:rPr>
              <w:t>Pipeline output schema</w:t>
            </w:r>
          </w:p>
        </w:tc>
        <w:tc>
          <w:tcPr>
            <w:tcW w:w="5040" w:type="dxa"/>
            <w:tcMar>
              <w:top w:w="100" w:type="dxa"/>
              <w:left w:w="100" w:type="dxa"/>
              <w:bottom w:w="100" w:type="dxa"/>
              <w:right w:w="100" w:type="dxa"/>
            </w:tcMar>
          </w:tcPr>
          <w:p w14:paraId="6E103C29">
            <w:pPr>
              <w:spacing w:after="0" w:line="240" w:lineRule="auto"/>
            </w:pPr>
            <w:r>
              <w:rPr>
                <w:rFonts w:ascii="Aptos" w:hAnsi="Aptos"/>
                <w:b w:val="0"/>
                <w:color w:val="27343D"/>
                <w:sz w:val="18"/>
              </w:rPr>
              <w:t>1.2.0</w:t>
            </w:r>
          </w:p>
        </w:tc>
      </w:tr>
      <w:tr w14:paraId="502D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3F6F8"/>
            <w:tcMar>
              <w:top w:w="100" w:type="dxa"/>
              <w:left w:w="100" w:type="dxa"/>
              <w:bottom w:w="100" w:type="dxa"/>
              <w:right w:w="100" w:type="dxa"/>
            </w:tcMar>
          </w:tcPr>
          <w:p w14:paraId="2183BAFD">
            <w:pPr>
              <w:spacing w:after="0" w:line="240" w:lineRule="auto"/>
            </w:pPr>
            <w:r>
              <w:rPr>
                <w:rFonts w:ascii="Aptos" w:hAnsi="Aptos"/>
                <w:b/>
                <w:color w:val="27343D"/>
                <w:sz w:val="18"/>
              </w:rPr>
              <w:t>Code snapshot date</w:t>
            </w:r>
          </w:p>
        </w:tc>
        <w:tc>
          <w:tcPr>
            <w:tcW w:w="5040" w:type="dxa"/>
            <w:tcMar>
              <w:top w:w="100" w:type="dxa"/>
              <w:left w:w="100" w:type="dxa"/>
              <w:bottom w:w="100" w:type="dxa"/>
              <w:right w:w="100" w:type="dxa"/>
            </w:tcMar>
          </w:tcPr>
          <w:p w14:paraId="0A0E569D">
            <w:pPr>
              <w:spacing w:after="0" w:line="240" w:lineRule="auto"/>
            </w:pPr>
            <w:r>
              <w:t>24 August 2026</w:t>
            </w:r>
          </w:p>
        </w:tc>
      </w:tr>
    </w:tbl>
    <w:p w14:paraId="2CA769A5">
      <w:r>
        <w:br w:type="page"/>
      </w:r>
    </w:p>
    <w:p w14:paraId="1EC4429B">
      <w:pPr>
        <w:pStyle w:val="2"/>
        <w:keepNext/>
      </w:pPr>
      <w:r>
        <w:t>Contents</w:t>
      </w:r>
    </w:p>
    <w:p w14:paraId="71DF01F8">
      <w:pPr>
        <w:spacing w:after="80"/>
        <w:ind w:left="288"/>
      </w:pPr>
      <w:r>
        <w:rPr>
          <w:rFonts w:ascii="Aptos" w:hAnsi="Aptos"/>
          <w:color w:val="27343D"/>
          <w:sz w:val="20"/>
        </w:rPr>
        <w:t>1. Purpose and intended audience</w:t>
      </w:r>
    </w:p>
    <w:p w14:paraId="6EEF4116">
      <w:pPr>
        <w:spacing w:after="80"/>
        <w:ind w:left="288"/>
      </w:pPr>
      <w:r>
        <w:rPr>
          <w:rFonts w:ascii="Aptos" w:hAnsi="Aptos"/>
          <w:color w:val="27343D"/>
          <w:sz w:val="20"/>
        </w:rPr>
        <w:t>2. Pipeline at a glance</w:t>
      </w:r>
    </w:p>
    <w:p w14:paraId="153BE3A6">
      <w:pPr>
        <w:spacing w:after="80"/>
        <w:ind w:left="288"/>
      </w:pPr>
      <w:r>
        <w:rPr>
          <w:rFonts w:ascii="Aptos" w:hAnsi="Aptos"/>
          <w:color w:val="27343D"/>
          <w:sz w:val="20"/>
        </w:rPr>
        <w:t>3. Input data and prerequisites</w:t>
      </w:r>
    </w:p>
    <w:p w14:paraId="2C99A681">
      <w:pPr>
        <w:spacing w:after="80"/>
        <w:ind w:left="288"/>
      </w:pPr>
      <w:r>
        <w:rPr>
          <w:rFonts w:ascii="Aptos" w:hAnsi="Aptos"/>
          <w:color w:val="27343D"/>
          <w:sz w:val="20"/>
        </w:rPr>
        <w:t>4. Data leakage safeguards and spatial validation</w:t>
      </w:r>
    </w:p>
    <w:p w14:paraId="3AA798CB">
      <w:pPr>
        <w:spacing w:after="80"/>
        <w:ind w:left="288"/>
      </w:pPr>
      <w:r>
        <w:rPr>
          <w:rFonts w:ascii="Aptos" w:hAnsi="Aptos"/>
          <w:color w:val="27343D"/>
          <w:sz w:val="20"/>
        </w:rPr>
        <w:t>5. Step 1 — CHECK: validate, clean and profile</w:t>
      </w:r>
    </w:p>
    <w:p w14:paraId="57F5C3F3">
      <w:pPr>
        <w:spacing w:after="80"/>
        <w:ind w:left="288"/>
      </w:pPr>
      <w:r>
        <w:rPr>
          <w:rFonts w:ascii="Aptos" w:hAnsi="Aptos"/>
          <w:color w:val="27343D"/>
          <w:sz w:val="20"/>
        </w:rPr>
        <w:t>6. Step 2 — PREPARE: encode, split and create CV folds</w:t>
      </w:r>
    </w:p>
    <w:p w14:paraId="34448070">
      <w:pPr>
        <w:spacing w:after="80"/>
        <w:ind w:left="288"/>
      </w:pPr>
      <w:r>
        <w:rPr>
          <w:rFonts w:ascii="Aptos" w:hAnsi="Aptos"/>
          <w:color w:val="27343D"/>
          <w:sz w:val="20"/>
        </w:rPr>
        <w:t>7. Step 3 — TRAIN: tune candidate models and produce OOF predictions</w:t>
      </w:r>
    </w:p>
    <w:p w14:paraId="14D6A964">
      <w:pPr>
        <w:spacing w:after="80"/>
        <w:ind w:left="288"/>
      </w:pPr>
      <w:r>
        <w:rPr>
          <w:rFonts w:ascii="Aptos" w:hAnsi="Aptos"/>
          <w:color w:val="27343D"/>
          <w:sz w:val="20"/>
        </w:rPr>
        <w:t>8. Step 4 — EVALUATE: compare, select and validate</w:t>
      </w:r>
    </w:p>
    <w:p w14:paraId="3E96A089">
      <w:pPr>
        <w:spacing w:after="80"/>
        <w:ind w:left="288"/>
      </w:pPr>
      <w:r>
        <w:t>9. Ensemble prediction: soft voting and optional class multipliers</w:t>
      </w:r>
    </w:p>
    <w:p w14:paraId="41740A73">
      <w:pPr>
        <w:spacing w:after="80"/>
        <w:ind w:left="288"/>
      </w:pPr>
      <w:r>
        <w:t>10. Confidence methodology: rank support + OOF class reliability</w:t>
      </w:r>
    </w:p>
    <w:p w14:paraId="1BE48A56">
      <w:pPr>
        <w:spacing w:after="80"/>
        <w:ind w:left="288"/>
      </w:pPr>
      <w:r>
        <w:rPr>
          <w:rFonts w:ascii="Aptos" w:hAnsi="Aptos"/>
          <w:color w:val="27343D"/>
          <w:sz w:val="20"/>
        </w:rPr>
        <w:t>11. Step 5 — PREDICT: refit, classify and fill unknown labels</w:t>
      </w:r>
    </w:p>
    <w:p w14:paraId="4634B69D">
      <w:pPr>
        <w:spacing w:after="80"/>
        <w:ind w:left="288"/>
      </w:pPr>
      <w:r>
        <w:rPr>
          <w:rFonts w:ascii="Aptos" w:hAnsi="Aptos"/>
          <w:color w:val="27343D"/>
          <w:sz w:val="20"/>
        </w:rPr>
        <w:t>12. Output architecture and artifact reference</w:t>
      </w:r>
    </w:p>
    <w:p w14:paraId="468D09F1">
      <w:pPr>
        <w:spacing w:after="80"/>
        <w:ind w:left="288"/>
      </w:pPr>
      <w:r>
        <w:rPr>
          <w:rFonts w:ascii="Aptos" w:hAnsi="Aptos"/>
          <w:color w:val="27343D"/>
          <w:sz w:val="20"/>
        </w:rPr>
        <w:t>13. How to interpret the main outputs</w:t>
      </w:r>
    </w:p>
    <w:p w14:paraId="3DE4EE2C">
      <w:pPr>
        <w:spacing w:after="80"/>
        <w:ind w:left="288"/>
      </w:pPr>
      <w:r>
        <w:rPr>
          <w:rFonts w:ascii="Aptos" w:hAnsi="Aptos"/>
          <w:color w:val="27343D"/>
          <w:sz w:val="20"/>
        </w:rPr>
        <w:t>14. Advanced and optional features</w:t>
      </w:r>
    </w:p>
    <w:p w14:paraId="28A85B28">
      <w:pPr>
        <w:spacing w:after="80"/>
        <w:ind w:left="288"/>
      </w:pPr>
      <w:r>
        <w:rPr>
          <w:rFonts w:ascii="Aptos" w:hAnsi="Aptos"/>
          <w:color w:val="27343D"/>
          <w:sz w:val="20"/>
        </w:rPr>
        <w:t>15. Operational runbook</w:t>
      </w:r>
    </w:p>
    <w:p w14:paraId="3EFFF4E8">
      <w:pPr>
        <w:spacing w:after="80"/>
        <w:ind w:left="288"/>
      </w:pPr>
      <w:r>
        <w:rPr>
          <w:rFonts w:ascii="Aptos" w:hAnsi="Aptos"/>
          <w:color w:val="27343D"/>
          <w:sz w:val="20"/>
        </w:rPr>
        <w:t>16. Troubleshooting and quality red flags</w:t>
      </w:r>
    </w:p>
    <w:p w14:paraId="74A4F18A">
      <w:pPr>
        <w:spacing w:after="80"/>
        <w:ind w:left="288"/>
        <w:rPr>
          <w:rFonts w:ascii="Aptos" w:hAnsi="Aptos"/>
          <w:color w:val="27343D"/>
          <w:sz w:val="20"/>
        </w:rPr>
      </w:pPr>
      <w:r>
        <w:rPr>
          <w:rFonts w:ascii="Aptos" w:hAnsi="Aptos"/>
          <w:color w:val="27343D"/>
          <w:sz w:val="20"/>
        </w:rPr>
        <w:t>17. Glossary</w:t>
      </w:r>
    </w:p>
    <w:p w14:paraId="18BA63D4">
      <w:pPr>
        <w:spacing w:after="80"/>
        <w:ind w:left="288"/>
        <w:rPr>
          <w:rFonts w:ascii="Aptos" w:hAnsi="Aptos"/>
          <w:color w:val="27343D"/>
          <w:sz w:val="20"/>
        </w:rPr>
        <w:sectPr>
          <w:headerReference r:id="rId5" w:type="default"/>
          <w:footerReference r:id="rId6" w:type="default"/>
          <w:pgSz w:w="12240" w:h="15840"/>
          <w:pgMar w:top="1080" w:right="1080" w:bottom="1008" w:left="1080" w:header="432" w:footer="432" w:gutter="0"/>
          <w:cols w:space="720" w:num="1"/>
          <w:docGrid w:linePitch="360" w:charSpace="0"/>
        </w:sectPr>
      </w:pPr>
    </w:p>
    <w:p w14:paraId="4CD91F25">
      <w:pPr>
        <w:spacing w:after="80"/>
        <w:ind w:left="288"/>
        <w:rPr>
          <w:rFonts w:hint="default" w:ascii="Aptos" w:hAnsi="Aptos"/>
          <w:color w:val="27343D"/>
          <w:sz w:val="20"/>
          <w:lang w:val="en-US"/>
        </w:rPr>
        <w:sectPr>
          <w:pgSz w:w="15840" w:h="12240" w:orient="landscape"/>
          <w:pgMar w:top="1080" w:right="1080" w:bottom="1080" w:left="1008" w:header="432" w:footer="432" w:gutter="0"/>
          <w:cols w:space="720" w:num="1"/>
          <w:docGrid w:linePitch="360" w:charSpace="0"/>
        </w:sectPr>
      </w:pPr>
      <w:bookmarkStart w:id="0" w:name="_GoBack"/>
      <w:r>
        <w:rPr>
          <w:rFonts w:hint="default" w:ascii="Aptos" w:hAnsi="Aptos"/>
          <w:color w:val="27343D"/>
          <w:sz w:val="20"/>
          <w:lang w:val="en-US"/>
        </w:rPr>
        <w:drawing>
          <wp:inline distT="0" distB="0" distL="114300" distR="114300">
            <wp:extent cx="8719820" cy="5813425"/>
            <wp:effectExtent l="0" t="0" r="12700" b="8255"/>
            <wp:docPr id="11" name="Picture 11" descr="e6cbed19-d875-49e8-a2af-da6183f8e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6cbed19-d875-49e8-a2af-da6183f8ebc7"/>
                    <pic:cNvPicPr>
                      <a:picLocks noChangeAspect="1"/>
                    </pic:cNvPicPr>
                  </pic:nvPicPr>
                  <pic:blipFill>
                    <a:blip r:embed="rId9"/>
                    <a:stretch>
                      <a:fillRect/>
                    </a:stretch>
                  </pic:blipFill>
                  <pic:spPr>
                    <a:xfrm>
                      <a:off x="0" y="0"/>
                      <a:ext cx="8719820" cy="5813425"/>
                    </a:xfrm>
                    <a:prstGeom prst="rect">
                      <a:avLst/>
                    </a:prstGeom>
                  </pic:spPr>
                </pic:pic>
              </a:graphicData>
            </a:graphic>
          </wp:inline>
        </w:drawing>
      </w:r>
      <w:bookmarkEnd w:id="0"/>
    </w:p>
    <w:p w14:paraId="5304C047">
      <w:pPr>
        <w:spacing w:after="80"/>
        <w:ind w:left="288"/>
        <w:rPr>
          <w:rFonts w:ascii="Aptos" w:hAnsi="Aptos"/>
          <w:color w:val="27343D"/>
          <w:sz w:val="20"/>
        </w:rPr>
      </w:pPr>
    </w:p>
    <w:p w14:paraId="1E95DDC2">
      <w:pPr>
        <w:pStyle w:val="2"/>
        <w:keepNext/>
      </w:pPr>
      <w:r>
        <w:t>1. Purpose and intended audience</w:t>
      </w:r>
    </w:p>
    <w:p w14:paraId="159E4F7D">
      <w:pPr>
        <w:pStyle w:val="13"/>
      </w:pPr>
      <w:r>
        <w:rPr>
          <w:rFonts w:ascii="Aptos" w:hAnsi="Aptos"/>
        </w:rPr>
        <w:t>This document explains the implemented machine-learning classification pipeline in plain language while preserving enough technical detail for analysts, reviewers and developers to understand what is happening and why. The pipeline is designed for parcel-level or other row-based multiclass classification and can operate on a standard pandas DataFrame or a GeoDataFrame with geometry.</w:t>
      </w:r>
    </w:p>
    <w:p w14:paraId="1D5CD555">
      <w:pPr>
        <w:pStyle w:val="13"/>
      </w:pPr>
      <w:r>
        <w:rPr>
          <w:rFonts w:ascii="Aptos" w:hAnsi="Aptos"/>
        </w:rPr>
        <w:t>The pipeline does not download satellite imagery itself. It expects an ML-ready table whose feature columns have already been created. In an Earth-observation workflow, those features may be monthly band statistics, vegetation/water indices, texture measures, ancillary data, or other parcel summaries.</w:t>
      </w:r>
    </w:p>
    <w:tbl>
      <w:tblPr>
        <w:tblStyle w:val="12"/>
        <w:tblW w:w="0" w:type="auto"/>
        <w:jc w:val="center"/>
        <w:tblLayout w:type="autofit"/>
        <w:tblCellMar>
          <w:top w:w="0" w:type="dxa"/>
          <w:left w:w="108" w:type="dxa"/>
          <w:bottom w:w="0" w:type="dxa"/>
          <w:right w:w="108" w:type="dxa"/>
        </w:tblCellMar>
      </w:tblPr>
      <w:tblGrid>
        <w:gridCol w:w="10080"/>
      </w:tblGrid>
      <w:tr w14:paraId="413BB6FD">
        <w:tblPrEx>
          <w:tblCellMar>
            <w:top w:w="0" w:type="dxa"/>
            <w:left w:w="108" w:type="dxa"/>
            <w:bottom w:w="0" w:type="dxa"/>
            <w:right w:w="108" w:type="dxa"/>
          </w:tblCellMar>
        </w:tblPrEx>
        <w:trPr>
          <w:jc w:val="center"/>
        </w:trPr>
        <w:tc>
          <w:tcPr>
            <w:tcW w:w="10080" w:type="dxa"/>
            <w:shd w:val="clear" w:color="auto" w:fill="F3F6F8"/>
            <w:tcMar>
              <w:top w:w="130" w:type="dxa"/>
              <w:left w:w="160" w:type="dxa"/>
              <w:bottom w:w="130" w:type="dxa"/>
              <w:right w:w="160" w:type="dxa"/>
            </w:tcMar>
          </w:tcPr>
          <w:p w14:paraId="5F45845D">
            <w:pPr>
              <w:spacing w:after="40"/>
            </w:pPr>
            <w:r>
              <w:rPr>
                <w:rFonts w:ascii="Aptos" w:hAnsi="Aptos"/>
                <w:b/>
                <w:color w:val="2E6F9E"/>
                <w:sz w:val="20"/>
              </w:rPr>
              <w:t xml:space="preserve">Core idea  </w:t>
            </w:r>
            <w:r>
              <w:rPr>
                <w:rFonts w:ascii="Aptos" w:hAnsi="Aptos"/>
                <w:color w:val="27343D"/>
                <w:sz w:val="20"/>
              </w:rPr>
              <w:t>Known labels are used to train and validate models. Unknown labels are left untouched until the final prediction stage, where the selected strategy fills them. Every stage saves its own artifacts so that the workflow is auditable and restartable.</w:t>
            </w:r>
          </w:p>
        </w:tc>
      </w:tr>
    </w:tbl>
    <w:p w14:paraId="2885A4E2">
      <w:pPr>
        <w:spacing w:after="0"/>
      </w:pPr>
    </w:p>
    <w:p w14:paraId="526CB3AA">
      <w:pPr>
        <w:pStyle w:val="3"/>
        <w:keepNext/>
      </w:pPr>
      <w:r>
        <w:t>1.1 Who should use which parts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4904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shd w:val="clear" w:color="auto" w:fill="17324D"/>
            <w:tcMar>
              <w:top w:w="100" w:type="dxa"/>
              <w:left w:w="100" w:type="dxa"/>
              <w:bottom w:w="100" w:type="dxa"/>
              <w:right w:w="100" w:type="dxa"/>
            </w:tcMar>
            <w:vAlign w:val="center"/>
          </w:tcPr>
          <w:p w14:paraId="7FF47006">
            <w:pPr>
              <w:spacing w:after="0" w:line="240" w:lineRule="auto"/>
              <w:jc w:val="center"/>
            </w:pPr>
            <w:r>
              <w:rPr>
                <w:rFonts w:ascii="Aptos" w:hAnsi="Aptos"/>
                <w:b/>
                <w:color w:val="FFFFFF"/>
                <w:sz w:val="18"/>
              </w:rPr>
              <w:t>Role</w:t>
            </w:r>
          </w:p>
        </w:tc>
        <w:tc>
          <w:tcPr>
            <w:tcW w:w="7488" w:type="dxa"/>
            <w:shd w:val="clear" w:color="auto" w:fill="17324D"/>
            <w:tcMar>
              <w:top w:w="100" w:type="dxa"/>
              <w:left w:w="100" w:type="dxa"/>
              <w:bottom w:w="100" w:type="dxa"/>
              <w:right w:w="100" w:type="dxa"/>
            </w:tcMar>
            <w:vAlign w:val="center"/>
          </w:tcPr>
          <w:p w14:paraId="201AF02A">
            <w:pPr>
              <w:spacing w:after="0" w:line="240" w:lineRule="auto"/>
              <w:jc w:val="center"/>
            </w:pPr>
            <w:r>
              <w:rPr>
                <w:rFonts w:ascii="Aptos" w:hAnsi="Aptos"/>
                <w:b/>
                <w:color w:val="FFFFFF"/>
                <w:sz w:val="18"/>
              </w:rPr>
              <w:t>Most useful sections</w:t>
            </w:r>
          </w:p>
        </w:tc>
      </w:tr>
      <w:tr w14:paraId="0D9F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100" w:type="dxa"/>
              <w:left w:w="100" w:type="dxa"/>
              <w:bottom w:w="100" w:type="dxa"/>
              <w:right w:w="100" w:type="dxa"/>
            </w:tcMar>
            <w:vAlign w:val="center"/>
          </w:tcPr>
          <w:p w14:paraId="6DA3DF9D">
            <w:pPr>
              <w:spacing w:after="0" w:line="240" w:lineRule="auto"/>
            </w:pPr>
            <w:r>
              <w:rPr>
                <w:rFonts w:ascii="Aptos" w:hAnsi="Aptos"/>
                <w:b/>
                <w:color w:val="27343D"/>
                <w:sz w:val="18"/>
              </w:rPr>
              <w:t>Analyst / domain expert</w:t>
            </w:r>
          </w:p>
        </w:tc>
        <w:tc>
          <w:tcPr>
            <w:tcW w:w="7488" w:type="dxa"/>
            <w:tcMar>
              <w:top w:w="100" w:type="dxa"/>
              <w:left w:w="100" w:type="dxa"/>
              <w:bottom w:w="100" w:type="dxa"/>
              <w:right w:w="100" w:type="dxa"/>
            </w:tcMar>
            <w:vAlign w:val="center"/>
          </w:tcPr>
          <w:p w14:paraId="0BA144D3">
            <w:pPr>
              <w:spacing w:after="0" w:line="240" w:lineRule="auto"/>
            </w:pPr>
            <w:r>
              <w:rPr>
                <w:rFonts w:ascii="Aptos" w:hAnsi="Aptos"/>
                <w:b w:val="0"/>
                <w:color w:val="27343D"/>
                <w:sz w:val="18"/>
              </w:rPr>
              <w:t>Steps 1–5, confidence interpretation, output guide, quality red flags</w:t>
            </w:r>
          </w:p>
        </w:tc>
      </w:tr>
      <w:tr w14:paraId="1D418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8FAFB"/>
            <w:tcMar>
              <w:top w:w="100" w:type="dxa"/>
              <w:left w:w="100" w:type="dxa"/>
              <w:bottom w:w="100" w:type="dxa"/>
              <w:right w:w="100" w:type="dxa"/>
            </w:tcMar>
            <w:vAlign w:val="center"/>
          </w:tcPr>
          <w:p w14:paraId="6D6B1AB8">
            <w:pPr>
              <w:spacing w:after="0" w:line="240" w:lineRule="auto"/>
            </w:pPr>
            <w:r>
              <w:rPr>
                <w:rFonts w:ascii="Aptos" w:hAnsi="Aptos"/>
                <w:b/>
                <w:color w:val="27343D"/>
                <w:sz w:val="18"/>
              </w:rPr>
              <w:t>ML engineer</w:t>
            </w:r>
          </w:p>
        </w:tc>
        <w:tc>
          <w:tcPr>
            <w:tcW w:w="7488" w:type="dxa"/>
            <w:shd w:val="clear" w:color="auto" w:fill="F8FAFB"/>
            <w:tcMar>
              <w:top w:w="100" w:type="dxa"/>
              <w:left w:w="100" w:type="dxa"/>
              <w:bottom w:w="100" w:type="dxa"/>
              <w:right w:w="100" w:type="dxa"/>
            </w:tcMar>
            <w:vAlign w:val="center"/>
          </w:tcPr>
          <w:p w14:paraId="266EEA1B">
            <w:pPr>
              <w:spacing w:after="0" w:line="240" w:lineRule="auto"/>
            </w:pPr>
            <w:r>
              <w:t>Training/search, CV selection, OOF class reliability, probability optimization, tests</w:t>
            </w:r>
          </w:p>
        </w:tc>
      </w:tr>
      <w:tr w14:paraId="350B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Mar>
              <w:top w:w="100" w:type="dxa"/>
              <w:left w:w="100" w:type="dxa"/>
              <w:bottom w:w="100" w:type="dxa"/>
              <w:right w:w="100" w:type="dxa"/>
            </w:tcMar>
            <w:vAlign w:val="center"/>
          </w:tcPr>
          <w:p w14:paraId="7DD02C6F">
            <w:pPr>
              <w:spacing w:after="0" w:line="240" w:lineRule="auto"/>
            </w:pPr>
            <w:r>
              <w:rPr>
                <w:rFonts w:ascii="Aptos" w:hAnsi="Aptos"/>
                <w:b/>
                <w:color w:val="27343D"/>
                <w:sz w:val="18"/>
              </w:rPr>
              <w:t>Reviewer / project manager</w:t>
            </w:r>
          </w:p>
        </w:tc>
        <w:tc>
          <w:tcPr>
            <w:tcW w:w="7488" w:type="dxa"/>
            <w:tcMar>
              <w:top w:w="100" w:type="dxa"/>
              <w:left w:w="100" w:type="dxa"/>
              <w:bottom w:w="100" w:type="dxa"/>
              <w:right w:w="100" w:type="dxa"/>
            </w:tcMar>
            <w:vAlign w:val="center"/>
          </w:tcPr>
          <w:p w14:paraId="4F2EB99F">
            <w:pPr>
              <w:spacing w:after="0" w:line="240" w:lineRule="auto"/>
            </w:pPr>
            <w:r>
              <w:rPr>
                <w:rFonts w:ascii="Aptos" w:hAnsi="Aptos"/>
                <w:b w:val="0"/>
                <w:color w:val="27343D"/>
                <w:sz w:val="18"/>
              </w:rPr>
              <w:t>Architecture, leakage safeguards, holdout metrics, confidence validation</w:t>
            </w:r>
          </w:p>
        </w:tc>
      </w:tr>
      <w:tr w14:paraId="5782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8FAFB"/>
            <w:tcMar>
              <w:top w:w="100" w:type="dxa"/>
              <w:left w:w="100" w:type="dxa"/>
              <w:bottom w:w="100" w:type="dxa"/>
              <w:right w:w="100" w:type="dxa"/>
            </w:tcMar>
            <w:vAlign w:val="center"/>
          </w:tcPr>
          <w:p w14:paraId="1859ED75">
            <w:pPr>
              <w:spacing w:after="0" w:line="240" w:lineRule="auto"/>
            </w:pPr>
            <w:r>
              <w:rPr>
                <w:rFonts w:ascii="Aptos" w:hAnsi="Aptos"/>
                <w:b/>
                <w:color w:val="27343D"/>
                <w:sz w:val="18"/>
              </w:rPr>
              <w:t>Developer / maintainer</w:t>
            </w:r>
          </w:p>
        </w:tc>
        <w:tc>
          <w:tcPr>
            <w:tcW w:w="7488" w:type="dxa"/>
            <w:shd w:val="clear" w:color="auto" w:fill="F8FAFB"/>
            <w:tcMar>
              <w:top w:w="100" w:type="dxa"/>
              <w:left w:w="100" w:type="dxa"/>
              <w:bottom w:w="100" w:type="dxa"/>
              <w:right w:w="100" w:type="dxa"/>
            </w:tcMar>
            <w:vAlign w:val="center"/>
          </w:tcPr>
          <w:p w14:paraId="578CBC22">
            <w:pPr>
              <w:spacing w:after="0" w:line="240" w:lineRule="auto"/>
            </w:pPr>
            <w:r>
              <w:rPr>
                <w:rFonts w:ascii="Aptos" w:hAnsi="Aptos"/>
                <w:b w:val="0"/>
                <w:color w:val="27343D"/>
                <w:sz w:val="18"/>
              </w:rPr>
              <w:t>Artifact contracts, module mapping, advanced options and runbook</w:t>
            </w:r>
          </w:p>
        </w:tc>
      </w:tr>
    </w:tbl>
    <w:p w14:paraId="6A0E45D0">
      <w:pPr>
        <w:spacing w:after="0"/>
      </w:pPr>
    </w:p>
    <w:p w14:paraId="211ADB42">
      <w:pPr>
        <w:pStyle w:val="2"/>
        <w:keepNext/>
      </w:pPr>
      <w:r>
        <w:t>2. Pipeline at a glance</w:t>
      </w:r>
    </w:p>
    <w:p w14:paraId="734692D9">
      <w:pPr>
        <w:pStyle w:val="13"/>
      </w:pPr>
      <w:r>
        <w:rPr>
          <w:rFonts w:ascii="Aptos" w:hAnsi="Aptos"/>
        </w:rPr>
        <w:t>The workflow is implemented as five ordered stages. A later stage consumes the persisted outputs of earlier stages, rather than relying on objects still held in memory. This is why individual steps can be rerun or resumed.</w:t>
      </w:r>
    </w:p>
    <w:p w14:paraId="6BDD4492">
      <w:pPr>
        <w:jc w:val="center"/>
      </w:pPr>
      <w:r>
        <w:drawing>
          <wp:inline distT="0" distB="0" distL="114300" distR="114300">
            <wp:extent cx="6446520" cy="279908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446520" cy="2799574"/>
                    </a:xfrm>
                    <a:prstGeom prst="rect">
                      <a:avLst/>
                    </a:prstGeom>
                  </pic:spPr>
                </pic:pic>
              </a:graphicData>
            </a:graphic>
          </wp:inline>
        </w:drawing>
      </w:r>
    </w:p>
    <w:p w14:paraId="78F4D90E">
      <w:pPr>
        <w:spacing w:after="160"/>
        <w:jc w:val="center"/>
      </w:pPr>
      <w:r>
        <w:rPr>
          <w:rFonts w:ascii="Aptos" w:hAnsi="Aptos"/>
          <w:i/>
          <w:color w:val="6B7780"/>
          <w:sz w:val="17"/>
        </w:rPr>
        <w:t>Figure 1. Five-stage workflow and the main responsibility of each stage.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528A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17324D"/>
            <w:tcMar>
              <w:top w:w="100" w:type="dxa"/>
              <w:left w:w="100" w:type="dxa"/>
              <w:bottom w:w="100" w:type="dxa"/>
              <w:right w:w="100" w:type="dxa"/>
            </w:tcMar>
            <w:vAlign w:val="center"/>
          </w:tcPr>
          <w:p w14:paraId="55DF1A2F">
            <w:pPr>
              <w:spacing w:after="0" w:line="240" w:lineRule="auto"/>
              <w:jc w:val="center"/>
            </w:pPr>
            <w:r>
              <w:rPr>
                <w:rFonts w:ascii="Aptos" w:hAnsi="Aptos"/>
                <w:b/>
                <w:color w:val="FFFFFF"/>
                <w:sz w:val="17"/>
              </w:rPr>
              <w:t>Stage</w:t>
            </w:r>
          </w:p>
        </w:tc>
        <w:tc>
          <w:tcPr>
            <w:tcW w:w="4680" w:type="dxa"/>
            <w:shd w:val="clear" w:color="auto" w:fill="17324D"/>
            <w:tcMar>
              <w:top w:w="100" w:type="dxa"/>
              <w:left w:w="100" w:type="dxa"/>
              <w:bottom w:w="100" w:type="dxa"/>
              <w:right w:w="100" w:type="dxa"/>
            </w:tcMar>
            <w:vAlign w:val="center"/>
          </w:tcPr>
          <w:p w14:paraId="600FA7B3">
            <w:pPr>
              <w:spacing w:after="0" w:line="240" w:lineRule="auto"/>
              <w:jc w:val="center"/>
            </w:pPr>
            <w:r>
              <w:rPr>
                <w:rFonts w:ascii="Aptos" w:hAnsi="Aptos"/>
                <w:b/>
                <w:color w:val="FFFFFF"/>
                <w:sz w:val="17"/>
              </w:rPr>
              <w:t>Plain-language purpose</w:t>
            </w:r>
          </w:p>
        </w:tc>
        <w:tc>
          <w:tcPr>
            <w:tcW w:w="3888" w:type="dxa"/>
            <w:shd w:val="clear" w:color="auto" w:fill="17324D"/>
            <w:tcMar>
              <w:top w:w="100" w:type="dxa"/>
              <w:left w:w="100" w:type="dxa"/>
              <w:bottom w:w="100" w:type="dxa"/>
              <w:right w:w="100" w:type="dxa"/>
            </w:tcMar>
            <w:vAlign w:val="center"/>
          </w:tcPr>
          <w:p w14:paraId="500221C5">
            <w:pPr>
              <w:spacing w:after="0" w:line="240" w:lineRule="auto"/>
              <w:jc w:val="center"/>
            </w:pPr>
            <w:r>
              <w:rPr>
                <w:rFonts w:ascii="Aptos" w:hAnsi="Aptos"/>
                <w:b/>
                <w:color w:val="FFFFFF"/>
                <w:sz w:val="17"/>
              </w:rPr>
              <w:t>Primary question answered</w:t>
            </w:r>
          </w:p>
        </w:tc>
      </w:tr>
      <w:tr w14:paraId="1782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20389BC4">
            <w:pPr>
              <w:spacing w:after="0" w:line="240" w:lineRule="auto"/>
            </w:pPr>
            <w:r>
              <w:rPr>
                <w:rFonts w:ascii="Aptos" w:hAnsi="Aptos"/>
                <w:b/>
                <w:color w:val="27343D"/>
                <w:sz w:val="17"/>
              </w:rPr>
              <w:t>01 CHECK</w:t>
            </w:r>
          </w:p>
        </w:tc>
        <w:tc>
          <w:tcPr>
            <w:tcW w:w="4680" w:type="dxa"/>
            <w:tcMar>
              <w:top w:w="100" w:type="dxa"/>
              <w:left w:w="100" w:type="dxa"/>
              <w:bottom w:w="100" w:type="dxa"/>
              <w:right w:w="100" w:type="dxa"/>
            </w:tcMar>
            <w:vAlign w:val="center"/>
          </w:tcPr>
          <w:p w14:paraId="08D58681">
            <w:pPr>
              <w:spacing w:after="0" w:line="240" w:lineRule="auto"/>
            </w:pPr>
            <w:r>
              <w:rPr>
                <w:rFonts w:ascii="Aptos" w:hAnsi="Aptos"/>
                <w:b w:val="0"/>
                <w:color w:val="27343D"/>
                <w:sz w:val="17"/>
              </w:rPr>
              <w:t>Make sure the input is usable and understand its quality.</w:t>
            </w:r>
          </w:p>
        </w:tc>
        <w:tc>
          <w:tcPr>
            <w:tcW w:w="3888" w:type="dxa"/>
            <w:tcMar>
              <w:top w:w="100" w:type="dxa"/>
              <w:left w:w="100" w:type="dxa"/>
              <w:bottom w:w="100" w:type="dxa"/>
              <w:right w:w="100" w:type="dxa"/>
            </w:tcMar>
            <w:vAlign w:val="center"/>
          </w:tcPr>
          <w:p w14:paraId="0042A5E2">
            <w:pPr>
              <w:spacing w:after="0" w:line="240" w:lineRule="auto"/>
            </w:pPr>
            <w:r>
              <w:rPr>
                <w:rFonts w:ascii="Aptos" w:hAnsi="Aptos"/>
                <w:b w:val="0"/>
                <w:color w:val="27343D"/>
                <w:sz w:val="17"/>
              </w:rPr>
              <w:t>“Is this dataset safe to model?”</w:t>
            </w:r>
          </w:p>
        </w:tc>
      </w:tr>
      <w:tr w14:paraId="1F57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8FAFB"/>
            <w:tcMar>
              <w:top w:w="100" w:type="dxa"/>
              <w:left w:w="100" w:type="dxa"/>
              <w:bottom w:w="100" w:type="dxa"/>
              <w:right w:w="100" w:type="dxa"/>
            </w:tcMar>
            <w:vAlign w:val="center"/>
          </w:tcPr>
          <w:p w14:paraId="301CD238">
            <w:pPr>
              <w:spacing w:after="0" w:line="240" w:lineRule="auto"/>
            </w:pPr>
            <w:r>
              <w:rPr>
                <w:rFonts w:ascii="Aptos" w:hAnsi="Aptos"/>
                <w:b/>
                <w:color w:val="27343D"/>
                <w:sz w:val="17"/>
              </w:rPr>
              <w:t>02 PREPARE</w:t>
            </w:r>
          </w:p>
        </w:tc>
        <w:tc>
          <w:tcPr>
            <w:tcW w:w="4680" w:type="dxa"/>
            <w:shd w:val="clear" w:color="auto" w:fill="F8FAFB"/>
            <w:tcMar>
              <w:top w:w="100" w:type="dxa"/>
              <w:left w:w="100" w:type="dxa"/>
              <w:bottom w:w="100" w:type="dxa"/>
              <w:right w:w="100" w:type="dxa"/>
            </w:tcMar>
            <w:vAlign w:val="center"/>
          </w:tcPr>
          <w:p w14:paraId="28F7C831">
            <w:pPr>
              <w:spacing w:after="0" w:line="240" w:lineRule="auto"/>
            </w:pPr>
            <w:r>
              <w:rPr>
                <w:rFonts w:ascii="Aptos" w:hAnsi="Aptos"/>
                <w:b w:val="0"/>
                <w:color w:val="27343D"/>
                <w:sz w:val="17"/>
              </w:rPr>
              <w:t>Create a fair train/test split and cross-validation folds.</w:t>
            </w:r>
          </w:p>
        </w:tc>
        <w:tc>
          <w:tcPr>
            <w:tcW w:w="3888" w:type="dxa"/>
            <w:shd w:val="clear" w:color="auto" w:fill="F8FAFB"/>
            <w:tcMar>
              <w:top w:w="100" w:type="dxa"/>
              <w:left w:w="100" w:type="dxa"/>
              <w:bottom w:w="100" w:type="dxa"/>
              <w:right w:w="100" w:type="dxa"/>
            </w:tcMar>
            <w:vAlign w:val="center"/>
          </w:tcPr>
          <w:p w14:paraId="40BCE5C6">
            <w:pPr>
              <w:spacing w:after="0" w:line="240" w:lineRule="auto"/>
            </w:pPr>
            <w:r>
              <w:rPr>
                <w:rFonts w:ascii="Aptos" w:hAnsi="Aptos"/>
                <w:b w:val="0"/>
                <w:color w:val="27343D"/>
                <w:sz w:val="17"/>
              </w:rPr>
              <w:t>“How will we train and test without cheating?”</w:t>
            </w:r>
          </w:p>
        </w:tc>
      </w:tr>
      <w:tr w14:paraId="3ADA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166E2A56">
            <w:pPr>
              <w:spacing w:after="0" w:line="240" w:lineRule="auto"/>
            </w:pPr>
            <w:r>
              <w:rPr>
                <w:rFonts w:ascii="Aptos" w:hAnsi="Aptos"/>
                <w:b/>
                <w:color w:val="27343D"/>
                <w:sz w:val="17"/>
              </w:rPr>
              <w:t>03 TRAIN</w:t>
            </w:r>
          </w:p>
        </w:tc>
        <w:tc>
          <w:tcPr>
            <w:tcW w:w="4680" w:type="dxa"/>
            <w:tcMar>
              <w:top w:w="100" w:type="dxa"/>
              <w:left w:w="100" w:type="dxa"/>
              <w:bottom w:w="100" w:type="dxa"/>
              <w:right w:w="100" w:type="dxa"/>
            </w:tcMar>
            <w:vAlign w:val="center"/>
          </w:tcPr>
          <w:p w14:paraId="624B1AF6">
            <w:pPr>
              <w:spacing w:after="0" w:line="240" w:lineRule="auto"/>
            </w:pPr>
            <w:r>
              <w:rPr>
                <w:rFonts w:ascii="Aptos" w:hAnsi="Aptos"/>
                <w:b w:val="0"/>
                <w:color w:val="27343D"/>
                <w:sz w:val="17"/>
              </w:rPr>
              <w:t>Try model families and tune their settings.</w:t>
            </w:r>
          </w:p>
        </w:tc>
        <w:tc>
          <w:tcPr>
            <w:tcW w:w="3888" w:type="dxa"/>
            <w:tcMar>
              <w:top w:w="100" w:type="dxa"/>
              <w:left w:w="100" w:type="dxa"/>
              <w:bottom w:w="100" w:type="dxa"/>
              <w:right w:w="100" w:type="dxa"/>
            </w:tcMar>
            <w:vAlign w:val="center"/>
          </w:tcPr>
          <w:p w14:paraId="002C819E">
            <w:pPr>
              <w:spacing w:after="0" w:line="240" w:lineRule="auto"/>
            </w:pPr>
            <w:r>
              <w:rPr>
                <w:rFonts w:ascii="Aptos" w:hAnsi="Aptos"/>
                <w:b w:val="0"/>
                <w:color w:val="27343D"/>
                <w:sz w:val="17"/>
              </w:rPr>
              <w:t>“Which version of each model works best in CV?”</w:t>
            </w:r>
          </w:p>
        </w:tc>
      </w:tr>
      <w:tr w14:paraId="3DFF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8FAFB"/>
            <w:tcMar>
              <w:top w:w="100" w:type="dxa"/>
              <w:left w:w="100" w:type="dxa"/>
              <w:bottom w:w="100" w:type="dxa"/>
              <w:right w:w="100" w:type="dxa"/>
            </w:tcMar>
            <w:vAlign w:val="center"/>
          </w:tcPr>
          <w:p w14:paraId="4AA7682D">
            <w:pPr>
              <w:spacing w:after="0" w:line="240" w:lineRule="auto"/>
            </w:pPr>
            <w:r>
              <w:rPr>
                <w:rFonts w:ascii="Aptos" w:hAnsi="Aptos"/>
                <w:b/>
                <w:color w:val="27343D"/>
                <w:sz w:val="17"/>
              </w:rPr>
              <w:t>04 EVALUATE</w:t>
            </w:r>
          </w:p>
        </w:tc>
        <w:tc>
          <w:tcPr>
            <w:tcW w:w="4680" w:type="dxa"/>
            <w:shd w:val="clear" w:color="auto" w:fill="F8FAFB"/>
            <w:tcMar>
              <w:top w:w="100" w:type="dxa"/>
              <w:left w:w="100" w:type="dxa"/>
              <w:bottom w:w="100" w:type="dxa"/>
              <w:right w:w="100" w:type="dxa"/>
            </w:tcMar>
            <w:vAlign w:val="center"/>
          </w:tcPr>
          <w:p w14:paraId="0F4146DB">
            <w:pPr>
              <w:spacing w:after="0" w:line="240" w:lineRule="auto"/>
            </w:pPr>
            <w:r>
              <w:t>Compare trained models, freeze the final strategy, and build the confidence contract.</w:t>
            </w:r>
          </w:p>
        </w:tc>
        <w:tc>
          <w:tcPr>
            <w:tcW w:w="3888" w:type="dxa"/>
            <w:shd w:val="clear" w:color="auto" w:fill="F8FAFB"/>
            <w:tcMar>
              <w:top w:w="100" w:type="dxa"/>
              <w:left w:w="100" w:type="dxa"/>
              <w:bottom w:w="100" w:type="dxa"/>
              <w:right w:w="100" w:type="dxa"/>
            </w:tcMar>
            <w:vAlign w:val="center"/>
          </w:tcPr>
          <w:p w14:paraId="79A77E86">
            <w:pPr>
              <w:spacing w:after="0" w:line="240" w:lineRule="auto"/>
            </w:pPr>
            <w:r>
              <w:t>“Which strategy should be trusted, and how reliable are its parcel predictions?”</w:t>
            </w:r>
          </w:p>
        </w:tc>
      </w:tr>
      <w:tr w14:paraId="0A61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100" w:type="dxa"/>
              <w:left w:w="100" w:type="dxa"/>
              <w:bottom w:w="100" w:type="dxa"/>
              <w:right w:w="100" w:type="dxa"/>
            </w:tcMar>
            <w:vAlign w:val="center"/>
          </w:tcPr>
          <w:p w14:paraId="3789E7CE">
            <w:pPr>
              <w:spacing w:after="0" w:line="240" w:lineRule="auto"/>
            </w:pPr>
            <w:r>
              <w:rPr>
                <w:rFonts w:ascii="Aptos" w:hAnsi="Aptos"/>
                <w:b/>
                <w:color w:val="27343D"/>
                <w:sz w:val="17"/>
              </w:rPr>
              <w:t>05 PREDICT</w:t>
            </w:r>
          </w:p>
        </w:tc>
        <w:tc>
          <w:tcPr>
            <w:tcW w:w="4680" w:type="dxa"/>
            <w:tcMar>
              <w:top w:w="100" w:type="dxa"/>
              <w:left w:w="100" w:type="dxa"/>
              <w:bottom w:w="100" w:type="dxa"/>
              <w:right w:w="100" w:type="dxa"/>
            </w:tcMar>
            <w:vAlign w:val="center"/>
          </w:tcPr>
          <w:p w14:paraId="3447FCED">
            <w:pPr>
              <w:spacing w:after="0" w:line="240" w:lineRule="auto"/>
            </w:pPr>
            <w:r>
              <w:rPr>
                <w:rFonts w:ascii="Aptos" w:hAnsi="Aptos"/>
                <w:b w:val="0"/>
                <w:color w:val="27343D"/>
                <w:sz w:val="17"/>
              </w:rPr>
              <w:t>Refit the frozen strategy on all labeled data and classify the complete dataset.</w:t>
            </w:r>
          </w:p>
        </w:tc>
        <w:tc>
          <w:tcPr>
            <w:tcW w:w="3888" w:type="dxa"/>
            <w:tcMar>
              <w:top w:w="100" w:type="dxa"/>
              <w:left w:w="100" w:type="dxa"/>
              <w:bottom w:w="100" w:type="dxa"/>
              <w:right w:w="100" w:type="dxa"/>
            </w:tcMar>
            <w:vAlign w:val="center"/>
          </w:tcPr>
          <w:p w14:paraId="724A7BC7">
            <w:pPr>
              <w:spacing w:after="0" w:line="240" w:lineRule="auto"/>
            </w:pPr>
            <w:r>
              <w:rPr>
                <w:rFonts w:ascii="Aptos" w:hAnsi="Aptos"/>
                <w:b w:val="0"/>
                <w:color w:val="27343D"/>
                <w:sz w:val="17"/>
              </w:rPr>
              <w:t>“What label and confidence should each parcel receive?”</w:t>
            </w:r>
          </w:p>
        </w:tc>
      </w:tr>
    </w:tbl>
    <w:p w14:paraId="4190CFC4">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1A32E131">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00C8D1E4">
            <w:r>
              <w:t>Important separation  Model selection is based on training cross-validation. OOF predictions from the training partition are used to estimate per-class reliability. The holdout test set is used only for unbiased verification; it does not choose the winning model or alter the class-reliability table.</w:t>
            </w:r>
          </w:p>
        </w:tc>
      </w:tr>
    </w:tbl>
    <w:p w14:paraId="16FEBC02">
      <w:pPr>
        <w:spacing w:after="0"/>
      </w:pPr>
    </w:p>
    <w:p w14:paraId="39DA34EE">
      <w:pPr>
        <w:pStyle w:val="2"/>
        <w:keepNext/>
      </w:pPr>
      <w:r>
        <w:t>3. Input data and prerequisites</w:t>
      </w:r>
    </w:p>
    <w:p w14:paraId="55901CE5">
      <w:pPr>
        <w:pStyle w:val="3"/>
        <w:keepNext/>
      </w:pPr>
      <w:r>
        <w:t>3.1 Required logical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5CA1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17324D"/>
            <w:tcMar>
              <w:top w:w="100" w:type="dxa"/>
              <w:left w:w="100" w:type="dxa"/>
              <w:bottom w:w="100" w:type="dxa"/>
              <w:right w:w="100" w:type="dxa"/>
            </w:tcMar>
            <w:vAlign w:val="center"/>
          </w:tcPr>
          <w:p w14:paraId="133CBFE5">
            <w:pPr>
              <w:spacing w:after="0" w:line="240" w:lineRule="auto"/>
              <w:jc w:val="center"/>
            </w:pPr>
            <w:r>
              <w:rPr>
                <w:rFonts w:ascii="Aptos" w:hAnsi="Aptos"/>
                <w:b/>
                <w:color w:val="FFFFFF"/>
                <w:sz w:val="17"/>
              </w:rPr>
              <w:t>Element</w:t>
            </w:r>
          </w:p>
        </w:tc>
        <w:tc>
          <w:tcPr>
            <w:tcW w:w="3600" w:type="dxa"/>
            <w:shd w:val="clear" w:color="auto" w:fill="17324D"/>
            <w:tcMar>
              <w:top w:w="100" w:type="dxa"/>
              <w:left w:w="100" w:type="dxa"/>
              <w:bottom w:w="100" w:type="dxa"/>
              <w:right w:w="100" w:type="dxa"/>
            </w:tcMar>
            <w:vAlign w:val="center"/>
          </w:tcPr>
          <w:p w14:paraId="4DF47FA6">
            <w:pPr>
              <w:spacing w:after="0" w:line="240" w:lineRule="auto"/>
              <w:jc w:val="center"/>
            </w:pPr>
            <w:r>
              <w:rPr>
                <w:rFonts w:ascii="Aptos" w:hAnsi="Aptos"/>
                <w:b/>
                <w:color w:val="FFFFFF"/>
                <w:sz w:val="17"/>
              </w:rPr>
              <w:t>Meaning</w:t>
            </w:r>
          </w:p>
        </w:tc>
        <w:tc>
          <w:tcPr>
            <w:tcW w:w="4608" w:type="dxa"/>
            <w:shd w:val="clear" w:color="auto" w:fill="17324D"/>
            <w:tcMar>
              <w:top w:w="100" w:type="dxa"/>
              <w:left w:w="100" w:type="dxa"/>
              <w:bottom w:w="100" w:type="dxa"/>
              <w:right w:w="100" w:type="dxa"/>
            </w:tcMar>
            <w:vAlign w:val="center"/>
          </w:tcPr>
          <w:p w14:paraId="41EF078E">
            <w:pPr>
              <w:spacing w:after="0" w:line="240" w:lineRule="auto"/>
              <w:jc w:val="center"/>
            </w:pPr>
            <w:r>
              <w:rPr>
                <w:rFonts w:ascii="Aptos" w:hAnsi="Aptos"/>
                <w:b/>
                <w:color w:val="FFFFFF"/>
                <w:sz w:val="17"/>
              </w:rPr>
              <w:t>Requirement</w:t>
            </w:r>
          </w:p>
        </w:tc>
      </w:tr>
      <w:tr w14:paraId="24B7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100" w:type="dxa"/>
              <w:left w:w="100" w:type="dxa"/>
              <w:bottom w:w="100" w:type="dxa"/>
              <w:right w:w="100" w:type="dxa"/>
            </w:tcMar>
            <w:vAlign w:val="center"/>
          </w:tcPr>
          <w:p w14:paraId="151DEB2F">
            <w:pPr>
              <w:spacing w:after="0" w:line="240" w:lineRule="auto"/>
            </w:pPr>
            <w:r>
              <w:rPr>
                <w:rFonts w:ascii="Aptos" w:hAnsi="Aptos"/>
                <w:b/>
                <w:color w:val="27343D"/>
                <w:sz w:val="17"/>
              </w:rPr>
              <w:t>ID column</w:t>
            </w:r>
          </w:p>
        </w:tc>
        <w:tc>
          <w:tcPr>
            <w:tcW w:w="3600" w:type="dxa"/>
            <w:tcMar>
              <w:top w:w="100" w:type="dxa"/>
              <w:left w:w="100" w:type="dxa"/>
              <w:bottom w:w="100" w:type="dxa"/>
              <w:right w:w="100" w:type="dxa"/>
            </w:tcMar>
            <w:vAlign w:val="center"/>
          </w:tcPr>
          <w:p w14:paraId="01896D32">
            <w:pPr>
              <w:spacing w:after="0" w:line="240" w:lineRule="auto"/>
            </w:pPr>
            <w:r>
              <w:rPr>
                <w:rFonts w:ascii="Aptos" w:hAnsi="Aptos"/>
                <w:b w:val="0"/>
                <w:color w:val="27343D"/>
                <w:sz w:val="17"/>
              </w:rPr>
              <w:t>Unique parcel / entity identifier.</w:t>
            </w:r>
          </w:p>
        </w:tc>
        <w:tc>
          <w:tcPr>
            <w:tcW w:w="4608" w:type="dxa"/>
            <w:tcMar>
              <w:top w:w="100" w:type="dxa"/>
              <w:left w:w="100" w:type="dxa"/>
              <w:bottom w:w="100" w:type="dxa"/>
              <w:right w:w="100" w:type="dxa"/>
            </w:tcMar>
            <w:vAlign w:val="center"/>
          </w:tcPr>
          <w:p w14:paraId="7CE27C53">
            <w:pPr>
              <w:spacing w:after="0" w:line="240" w:lineRule="auto"/>
            </w:pPr>
            <w:r>
              <w:rPr>
                <w:rFonts w:ascii="Aptos" w:hAnsi="Aptos"/>
                <w:b w:val="0"/>
                <w:color w:val="27343D"/>
                <w:sz w:val="17"/>
              </w:rPr>
              <w:t>Created from the row index if missing; stored as text. Unique IDs are enforced by default.</w:t>
            </w:r>
          </w:p>
        </w:tc>
      </w:tr>
      <w:tr w14:paraId="0F4A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B"/>
            <w:tcMar>
              <w:top w:w="100" w:type="dxa"/>
              <w:left w:w="100" w:type="dxa"/>
              <w:bottom w:w="100" w:type="dxa"/>
              <w:right w:w="100" w:type="dxa"/>
            </w:tcMar>
            <w:vAlign w:val="center"/>
          </w:tcPr>
          <w:p w14:paraId="396804FA">
            <w:pPr>
              <w:spacing w:after="0" w:line="240" w:lineRule="auto"/>
            </w:pPr>
            <w:r>
              <w:rPr>
                <w:rFonts w:ascii="Aptos" w:hAnsi="Aptos"/>
                <w:b/>
                <w:color w:val="27343D"/>
                <w:sz w:val="17"/>
              </w:rPr>
              <w:t>Target column</w:t>
            </w:r>
          </w:p>
        </w:tc>
        <w:tc>
          <w:tcPr>
            <w:tcW w:w="3600" w:type="dxa"/>
            <w:shd w:val="clear" w:color="auto" w:fill="F8FAFB"/>
            <w:tcMar>
              <w:top w:w="100" w:type="dxa"/>
              <w:left w:w="100" w:type="dxa"/>
              <w:bottom w:w="100" w:type="dxa"/>
              <w:right w:w="100" w:type="dxa"/>
            </w:tcMar>
            <w:vAlign w:val="center"/>
          </w:tcPr>
          <w:p w14:paraId="5D0BFEF0">
            <w:pPr>
              <w:spacing w:after="0" w:line="240" w:lineRule="auto"/>
            </w:pPr>
            <w:r>
              <w:rPr>
                <w:rFonts w:ascii="Aptos" w:hAnsi="Aptos"/>
                <w:b w:val="0"/>
                <w:color w:val="27343D"/>
                <w:sz w:val="17"/>
              </w:rPr>
              <w:t>The class to learn (for example crop code).</w:t>
            </w:r>
          </w:p>
        </w:tc>
        <w:tc>
          <w:tcPr>
            <w:tcW w:w="4608" w:type="dxa"/>
            <w:shd w:val="clear" w:color="auto" w:fill="F8FAFB"/>
            <w:tcMar>
              <w:top w:w="100" w:type="dxa"/>
              <w:left w:w="100" w:type="dxa"/>
              <w:bottom w:w="100" w:type="dxa"/>
              <w:right w:w="100" w:type="dxa"/>
            </w:tcMar>
            <w:vAlign w:val="center"/>
          </w:tcPr>
          <w:p w14:paraId="2C70AB4A">
            <w:pPr>
              <w:spacing w:after="0" w:line="240" w:lineRule="auto"/>
            </w:pPr>
            <w:r>
              <w:rPr>
                <w:rFonts w:ascii="Aptos" w:hAnsi="Aptos"/>
                <w:b w:val="0"/>
                <w:color w:val="27343D"/>
                <w:sz w:val="17"/>
              </w:rPr>
              <w:t>Known for training rows; may be null for rows to classify later.</w:t>
            </w:r>
          </w:p>
        </w:tc>
      </w:tr>
      <w:tr w14:paraId="6800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Mar>
              <w:top w:w="100" w:type="dxa"/>
              <w:left w:w="100" w:type="dxa"/>
              <w:bottom w:w="100" w:type="dxa"/>
              <w:right w:w="100" w:type="dxa"/>
            </w:tcMar>
            <w:vAlign w:val="center"/>
          </w:tcPr>
          <w:p w14:paraId="715FBB46">
            <w:pPr>
              <w:spacing w:after="0" w:line="240" w:lineRule="auto"/>
            </w:pPr>
            <w:r>
              <w:rPr>
                <w:rFonts w:ascii="Aptos" w:hAnsi="Aptos"/>
                <w:b/>
                <w:color w:val="27343D"/>
                <w:sz w:val="17"/>
              </w:rPr>
              <w:t>Feature columns</w:t>
            </w:r>
          </w:p>
        </w:tc>
        <w:tc>
          <w:tcPr>
            <w:tcW w:w="3600" w:type="dxa"/>
            <w:tcMar>
              <w:top w:w="100" w:type="dxa"/>
              <w:left w:w="100" w:type="dxa"/>
              <w:bottom w:w="100" w:type="dxa"/>
              <w:right w:w="100" w:type="dxa"/>
            </w:tcMar>
            <w:vAlign w:val="center"/>
          </w:tcPr>
          <w:p w14:paraId="3E5B3DC6">
            <w:pPr>
              <w:spacing w:after="0" w:line="240" w:lineRule="auto"/>
            </w:pPr>
            <w:r>
              <w:rPr>
                <w:rFonts w:ascii="Aptos" w:hAnsi="Aptos"/>
                <w:b w:val="0"/>
                <w:color w:val="27343D"/>
                <w:sz w:val="17"/>
              </w:rPr>
              <w:t>Measurements used by ML.</w:t>
            </w:r>
          </w:p>
        </w:tc>
        <w:tc>
          <w:tcPr>
            <w:tcW w:w="4608" w:type="dxa"/>
            <w:tcMar>
              <w:top w:w="100" w:type="dxa"/>
              <w:left w:w="100" w:type="dxa"/>
              <w:bottom w:w="100" w:type="dxa"/>
              <w:right w:w="100" w:type="dxa"/>
            </w:tcMar>
            <w:vAlign w:val="center"/>
          </w:tcPr>
          <w:p w14:paraId="63D99AD8">
            <w:pPr>
              <w:spacing w:after="0" w:line="240" w:lineRule="auto"/>
            </w:pPr>
            <w:r>
              <w:rPr>
                <w:rFonts w:ascii="Aptos" w:hAnsi="Aptos"/>
                <w:b w:val="0"/>
                <w:color w:val="27343D"/>
                <w:sz w:val="17"/>
              </w:rPr>
              <w:t>At least one feature. ID, target and geometry cannot be model features.</w:t>
            </w:r>
          </w:p>
        </w:tc>
      </w:tr>
      <w:tr w14:paraId="0CEC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B"/>
            <w:tcMar>
              <w:top w:w="100" w:type="dxa"/>
              <w:left w:w="100" w:type="dxa"/>
              <w:bottom w:w="100" w:type="dxa"/>
              <w:right w:w="100" w:type="dxa"/>
            </w:tcMar>
            <w:vAlign w:val="center"/>
          </w:tcPr>
          <w:p w14:paraId="4E713C35">
            <w:pPr>
              <w:spacing w:after="0" w:line="240" w:lineRule="auto"/>
            </w:pPr>
            <w:r>
              <w:rPr>
                <w:rFonts w:ascii="Aptos" w:hAnsi="Aptos"/>
                <w:b/>
                <w:color w:val="27343D"/>
                <w:sz w:val="17"/>
              </w:rPr>
              <w:t>Geometry</w:t>
            </w:r>
          </w:p>
        </w:tc>
        <w:tc>
          <w:tcPr>
            <w:tcW w:w="3600" w:type="dxa"/>
            <w:shd w:val="clear" w:color="auto" w:fill="F8FAFB"/>
            <w:tcMar>
              <w:top w:w="100" w:type="dxa"/>
              <w:left w:w="100" w:type="dxa"/>
              <w:bottom w:w="100" w:type="dxa"/>
              <w:right w:w="100" w:type="dxa"/>
            </w:tcMar>
            <w:vAlign w:val="center"/>
          </w:tcPr>
          <w:p w14:paraId="454F8424">
            <w:pPr>
              <w:spacing w:after="0" w:line="240" w:lineRule="auto"/>
            </w:pPr>
            <w:r>
              <w:rPr>
                <w:rFonts w:ascii="Aptos" w:hAnsi="Aptos"/>
                <w:b w:val="0"/>
                <w:color w:val="27343D"/>
                <w:sz w:val="17"/>
              </w:rPr>
              <w:t>Parcel polygon/geometry.</w:t>
            </w:r>
          </w:p>
        </w:tc>
        <w:tc>
          <w:tcPr>
            <w:tcW w:w="4608" w:type="dxa"/>
            <w:shd w:val="clear" w:color="auto" w:fill="F8FAFB"/>
            <w:tcMar>
              <w:top w:w="100" w:type="dxa"/>
              <w:left w:w="100" w:type="dxa"/>
              <w:bottom w:w="100" w:type="dxa"/>
              <w:right w:w="100" w:type="dxa"/>
            </w:tcMar>
            <w:vAlign w:val="center"/>
          </w:tcPr>
          <w:p w14:paraId="1B3456AF">
            <w:pPr>
              <w:spacing w:after="0" w:line="240" w:lineRule="auto"/>
            </w:pPr>
            <w:r>
              <w:rPr>
                <w:rFonts w:ascii="Aptos" w:hAnsi="Aptos"/>
                <w:b w:val="0"/>
                <w:color w:val="27343D"/>
                <w:sz w:val="17"/>
              </w:rPr>
              <w:t>Optional in general; required for spatial split/interpolation and spatial maps.</w:t>
            </w:r>
          </w:p>
        </w:tc>
      </w:tr>
    </w:tbl>
    <w:p w14:paraId="5D0518FC">
      <w:pPr>
        <w:spacing w:after="0"/>
      </w:pPr>
    </w:p>
    <w:p w14:paraId="0CF09A48">
      <w:pPr>
        <w:pStyle w:val="3"/>
        <w:keepNext/>
      </w:pPr>
      <w:r>
        <w:t>3.2 Grain and label requirements</w:t>
      </w:r>
    </w:p>
    <w:p w14:paraId="3CB309D0">
      <w:pPr>
        <w:pStyle w:val="23"/>
        <w:spacing w:after="60"/>
      </w:pPr>
      <w:r>
        <w:rPr>
          <w:rFonts w:ascii="Aptos" w:hAnsi="Aptos"/>
        </w:rPr>
        <w:t>By default there must be one row per ID. Duplicate parcel IDs cause an error because the pipeline assumes one modeling record per entity.</w:t>
      </w:r>
    </w:p>
    <w:p w14:paraId="0B13C02E">
      <w:pPr>
        <w:pStyle w:val="23"/>
        <w:spacing w:after="60"/>
      </w:pPr>
      <w:r>
        <w:rPr>
          <w:rFonts w:ascii="Aptos" w:hAnsi="Aptos"/>
        </w:rPr>
        <w:t>At least two target classes are required.</w:t>
      </w:r>
    </w:p>
    <w:p w14:paraId="16CDA6B3">
      <w:pPr>
        <w:pStyle w:val="23"/>
        <w:spacing w:after="60"/>
      </w:pPr>
      <w:r>
        <w:rPr>
          <w:rFonts w:ascii="Aptos" w:hAnsi="Aptos"/>
        </w:rPr>
        <w:t>Every class must have at least as many labeled parcels as the configured number of CV folds; otherwise a fold could have no examples of that class.</w:t>
      </w:r>
    </w:p>
    <w:p w14:paraId="675D335F">
      <w:pPr>
        <w:pStyle w:val="23"/>
        <w:spacing w:after="60"/>
      </w:pPr>
      <w:r>
        <w:rPr>
          <w:rFonts w:ascii="Aptos" w:hAnsi="Aptos"/>
        </w:rPr>
        <w:t>Rows with a missing target are preserved in Step 1 but excluded from training and evaluation. They re-enter in Step 5 for final classification.</w:t>
      </w:r>
    </w:p>
    <w:p w14:paraId="3C016E94">
      <w:pPr>
        <w:pStyle w:val="3"/>
        <w:keepNext/>
      </w:pPr>
      <w:r>
        <w:t>3.3 Typical Earth-observation features</w:t>
      </w:r>
    </w:p>
    <w:p w14:paraId="4B0F8EA1">
      <w:pPr>
        <w:pStyle w:val="13"/>
      </w:pPr>
      <w:r>
        <w:rPr>
          <w:rFonts w:ascii="Aptos" w:hAnsi="Aptos"/>
        </w:rPr>
        <w:t>For parcel crop classification, the feature table can contain time-series summaries such as monthly Sentinel-2 bands, NDVI, NDWI, red-edge indices, cloud-free observation counts, phenological descriptors, or categorical ancillary attributes. The pipeline treats these as columns; it does not assume one specific satellite sensor.</w:t>
      </w:r>
    </w:p>
    <w:tbl>
      <w:tblPr>
        <w:tblStyle w:val="12"/>
        <w:tblW w:w="0" w:type="auto"/>
        <w:jc w:val="center"/>
        <w:tblLayout w:type="autofit"/>
        <w:tblCellMar>
          <w:top w:w="0" w:type="dxa"/>
          <w:left w:w="108" w:type="dxa"/>
          <w:bottom w:w="0" w:type="dxa"/>
          <w:right w:w="108" w:type="dxa"/>
        </w:tblCellMar>
      </w:tblPr>
      <w:tblGrid>
        <w:gridCol w:w="10080"/>
      </w:tblGrid>
      <w:tr w14:paraId="35D2374A">
        <w:tblPrEx>
          <w:tblCellMar>
            <w:top w:w="0" w:type="dxa"/>
            <w:left w:w="108" w:type="dxa"/>
            <w:bottom w:w="0" w:type="dxa"/>
            <w:right w:w="108" w:type="dxa"/>
          </w:tblCellMar>
        </w:tblPrEx>
        <w:trPr>
          <w:jc w:val="center"/>
        </w:trPr>
        <w:tc>
          <w:tcPr>
            <w:tcW w:w="10080" w:type="dxa"/>
            <w:shd w:val="clear" w:color="auto" w:fill="F5F2FB"/>
            <w:tcMar>
              <w:top w:w="130" w:type="dxa"/>
              <w:left w:w="160" w:type="dxa"/>
              <w:bottom w:w="130" w:type="dxa"/>
              <w:right w:w="160" w:type="dxa"/>
            </w:tcMar>
          </w:tcPr>
          <w:p w14:paraId="64C312EF">
            <w:pPr>
              <w:spacing w:after="40"/>
            </w:pPr>
            <w:r>
              <w:rPr>
                <w:rFonts w:ascii="Aptos" w:hAnsi="Aptos"/>
                <w:b/>
                <w:color w:val="7669A8"/>
                <w:sz w:val="20"/>
              </w:rPr>
              <w:t xml:space="preserve">Time-series note  </w:t>
            </w:r>
            <w:r>
              <w:rPr>
                <w:rFonts w:ascii="Aptos" w:hAnsi="Aptos"/>
                <w:color w:val="27343D"/>
                <w:sz w:val="20"/>
              </w:rPr>
              <w:t>The upstream zonal-statistics workflow is expected to pivot time-series measurements into an ML-ready one-row-per-parcel table. The optional Keras LSTM model can parse temporal feature columns into ordered timesteps using its own temporal schema.</w:t>
            </w:r>
          </w:p>
        </w:tc>
      </w:tr>
    </w:tbl>
    <w:p w14:paraId="2727EF4D">
      <w:pPr>
        <w:spacing w:after="0"/>
      </w:pPr>
    </w:p>
    <w:p w14:paraId="3B5B0D9C">
      <w:pPr>
        <w:pStyle w:val="2"/>
        <w:keepNext/>
      </w:pPr>
      <w:r>
        <w:t>4. Data leakage safeguards and spatial validation</w:t>
      </w:r>
    </w:p>
    <w:p w14:paraId="5ADBBC20">
      <w:pPr>
        <w:pStyle w:val="13"/>
      </w:pPr>
      <w:r>
        <w:rPr>
          <w:rFonts w:ascii="Aptos" w:hAnsi="Aptos"/>
        </w:rPr>
        <w:t>A classification model can look excellent when training and testing records are too similar. This is especially dangerous for geospatial data because neighboring parcels often share soil, weather, management practices and satellite signal. The pipeline therefore separates three concepts: training, cross-validation/OOF, and the final holdout test.</w:t>
      </w:r>
    </w:p>
    <w:p w14:paraId="3BACF8B0">
      <w:pPr>
        <w:jc w:val="center"/>
      </w:pPr>
      <w:r>
        <w:drawing>
          <wp:inline distT="0" distB="0" distL="114300" distR="114300">
            <wp:extent cx="6400800" cy="345630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400800" cy="3456829"/>
                    </a:xfrm>
                    <a:prstGeom prst="rect">
                      <a:avLst/>
                    </a:prstGeom>
                  </pic:spPr>
                </pic:pic>
              </a:graphicData>
            </a:graphic>
          </wp:inline>
        </w:drawing>
      </w:r>
    </w:p>
    <w:p w14:paraId="564A6E42">
      <w:pPr>
        <w:spacing w:after="160"/>
        <w:jc w:val="center"/>
      </w:pPr>
      <w:r>
        <w:rPr>
          <w:rFonts w:ascii="Aptos" w:hAnsi="Aptos"/>
          <w:i/>
          <w:color w:val="6B7780"/>
          <w:sz w:val="17"/>
        </w:rPr>
        <w:t>Figure 2. Training, OOF predictions and the untouched holdout test play different roles.</w:t>
      </w:r>
    </w:p>
    <w:p w14:paraId="079955A8">
      <w:pPr>
        <w:pStyle w:val="3"/>
        <w:keepNext/>
      </w:pPr>
      <w:r>
        <w:t>4.1 OOF means “out-of-fold”</w:t>
      </w:r>
    </w:p>
    <w:p w14:paraId="054F3CB6">
      <w:pPr>
        <w:pStyle w:val="13"/>
      </w:pPr>
      <w:r>
        <w:t>During cross-validation, the training portion is divided into folds. A parcel receives an OOF prediction only from a model that was fitted without that parcel. OOF predictions are therefore suitable for model-selection diagnostics, optional class-probability optimization, and the confidence contract without using the holdout test.</w:t>
      </w:r>
    </w:p>
    <w:p w14:paraId="2FC988B4">
      <w:pPr>
        <w:pStyle w:val="3"/>
        <w:keepNext/>
      </w:pPr>
      <w:r>
        <w:t>4.2 Spatial splitting</w:t>
      </w:r>
    </w:p>
    <w:p w14:paraId="30879D5E">
      <w:pPr>
        <w:jc w:val="center"/>
      </w:pPr>
      <w:r>
        <w:drawing>
          <wp:inline distT="0" distB="0" distL="114300" distR="114300">
            <wp:extent cx="6309360" cy="34937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309360" cy="3493812"/>
                    </a:xfrm>
                    <a:prstGeom prst="rect">
                      <a:avLst/>
                    </a:prstGeom>
                  </pic:spPr>
                </pic:pic>
              </a:graphicData>
            </a:graphic>
          </wp:inline>
        </w:drawing>
      </w:r>
    </w:p>
    <w:p w14:paraId="7228F338">
      <w:pPr>
        <w:spacing w:after="160"/>
        <w:jc w:val="center"/>
      </w:pPr>
      <w:r>
        <w:rPr>
          <w:rFonts w:ascii="Aptos" w:hAnsi="Aptos"/>
          <w:i/>
          <w:color w:val="6B7780"/>
          <w:sz w:val="17"/>
        </w:rPr>
        <w:t>Figure 3. Spatial by_group and by_row splitting strategies.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680E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100" w:type="dxa"/>
              <w:left w:w="100" w:type="dxa"/>
              <w:bottom w:w="100" w:type="dxa"/>
              <w:right w:w="100" w:type="dxa"/>
            </w:tcMar>
            <w:vAlign w:val="center"/>
          </w:tcPr>
          <w:p w14:paraId="048C4BA4">
            <w:pPr>
              <w:spacing w:after="0" w:line="240" w:lineRule="auto"/>
              <w:jc w:val="center"/>
            </w:pPr>
            <w:r>
              <w:rPr>
                <w:rFonts w:ascii="Aptos" w:hAnsi="Aptos"/>
                <w:b/>
                <w:color w:val="FFFFFF"/>
                <w:sz w:val="17"/>
              </w:rPr>
              <w:t>Option</w:t>
            </w:r>
          </w:p>
        </w:tc>
        <w:tc>
          <w:tcPr>
            <w:tcW w:w="4968" w:type="dxa"/>
            <w:shd w:val="clear" w:color="auto" w:fill="17324D"/>
            <w:tcMar>
              <w:top w:w="100" w:type="dxa"/>
              <w:left w:w="100" w:type="dxa"/>
              <w:bottom w:w="100" w:type="dxa"/>
              <w:right w:w="100" w:type="dxa"/>
            </w:tcMar>
            <w:vAlign w:val="center"/>
          </w:tcPr>
          <w:p w14:paraId="6B7511EB">
            <w:pPr>
              <w:spacing w:after="0" w:line="240" w:lineRule="auto"/>
              <w:jc w:val="center"/>
            </w:pPr>
            <w:r>
              <w:rPr>
                <w:rFonts w:ascii="Aptos" w:hAnsi="Aptos"/>
                <w:b/>
                <w:color w:val="FFFFFF"/>
                <w:sz w:val="17"/>
              </w:rPr>
              <w:t>How it works</w:t>
            </w:r>
          </w:p>
        </w:tc>
        <w:tc>
          <w:tcPr>
            <w:tcW w:w="3384" w:type="dxa"/>
            <w:shd w:val="clear" w:color="auto" w:fill="17324D"/>
            <w:tcMar>
              <w:top w:w="100" w:type="dxa"/>
              <w:left w:w="100" w:type="dxa"/>
              <w:bottom w:w="100" w:type="dxa"/>
              <w:right w:w="100" w:type="dxa"/>
            </w:tcMar>
            <w:vAlign w:val="center"/>
          </w:tcPr>
          <w:p w14:paraId="320669B9">
            <w:pPr>
              <w:spacing w:after="0" w:line="240" w:lineRule="auto"/>
              <w:jc w:val="center"/>
            </w:pPr>
            <w:r>
              <w:rPr>
                <w:rFonts w:ascii="Aptos" w:hAnsi="Aptos"/>
                <w:b/>
                <w:color w:val="FFFFFF"/>
                <w:sz w:val="17"/>
              </w:rPr>
              <w:t>When to prefer it</w:t>
            </w:r>
          </w:p>
        </w:tc>
      </w:tr>
      <w:tr w14:paraId="0989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46E12CA3">
            <w:pPr>
              <w:spacing w:after="0" w:line="240" w:lineRule="auto"/>
            </w:pPr>
            <w:r>
              <w:rPr>
                <w:rFonts w:ascii="Aptos" w:hAnsi="Aptos"/>
                <w:b/>
                <w:color w:val="27343D"/>
                <w:sz w:val="17"/>
              </w:rPr>
              <w:t>spatial_split=False</w:t>
            </w:r>
          </w:p>
        </w:tc>
        <w:tc>
          <w:tcPr>
            <w:tcW w:w="4968" w:type="dxa"/>
            <w:tcMar>
              <w:top w:w="100" w:type="dxa"/>
              <w:left w:w="100" w:type="dxa"/>
              <w:bottom w:w="100" w:type="dxa"/>
              <w:right w:w="100" w:type="dxa"/>
            </w:tcMar>
            <w:vAlign w:val="center"/>
          </w:tcPr>
          <w:p w14:paraId="295F5AA2">
            <w:pPr>
              <w:spacing w:after="0" w:line="240" w:lineRule="auto"/>
            </w:pPr>
            <w:r>
              <w:rPr>
                <w:rFonts w:ascii="Aptos" w:hAnsi="Aptos"/>
                <w:b w:val="0"/>
                <w:color w:val="27343D"/>
                <w:sz w:val="17"/>
              </w:rPr>
              <w:t>Standard stratified random train/test split; every class keeps a similar proportion.</w:t>
            </w:r>
          </w:p>
        </w:tc>
        <w:tc>
          <w:tcPr>
            <w:tcW w:w="3384" w:type="dxa"/>
            <w:tcMar>
              <w:top w:w="100" w:type="dxa"/>
              <w:left w:w="100" w:type="dxa"/>
              <w:bottom w:w="100" w:type="dxa"/>
              <w:right w:w="100" w:type="dxa"/>
            </w:tcMar>
            <w:vAlign w:val="center"/>
          </w:tcPr>
          <w:p w14:paraId="16AC8CC6">
            <w:pPr>
              <w:spacing w:after="0" w:line="240" w:lineRule="auto"/>
            </w:pPr>
            <w:r>
              <w:rPr>
                <w:rFonts w:ascii="Aptos" w:hAnsi="Aptos"/>
                <w:b w:val="0"/>
                <w:color w:val="27343D"/>
                <w:sz w:val="17"/>
              </w:rPr>
              <w:t>Non-spatial problems or when spatial independence is not required.</w:t>
            </w:r>
          </w:p>
        </w:tc>
      </w:tr>
      <w:tr w14:paraId="6258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B"/>
            <w:tcMar>
              <w:top w:w="100" w:type="dxa"/>
              <w:left w:w="100" w:type="dxa"/>
              <w:bottom w:w="100" w:type="dxa"/>
              <w:right w:w="100" w:type="dxa"/>
            </w:tcMar>
            <w:vAlign w:val="center"/>
          </w:tcPr>
          <w:p w14:paraId="6DC0548A">
            <w:pPr>
              <w:spacing w:after="0" w:line="240" w:lineRule="auto"/>
            </w:pPr>
            <w:r>
              <w:rPr>
                <w:rFonts w:ascii="Aptos" w:hAnsi="Aptos"/>
                <w:b/>
                <w:color w:val="27343D"/>
                <w:sz w:val="17"/>
              </w:rPr>
              <w:t>by_group</w:t>
            </w:r>
          </w:p>
        </w:tc>
        <w:tc>
          <w:tcPr>
            <w:tcW w:w="4968" w:type="dxa"/>
            <w:shd w:val="clear" w:color="auto" w:fill="F8FAFB"/>
            <w:tcMar>
              <w:top w:w="100" w:type="dxa"/>
              <w:left w:w="100" w:type="dxa"/>
              <w:bottom w:w="100" w:type="dxa"/>
              <w:right w:w="100" w:type="dxa"/>
            </w:tcMar>
            <w:vAlign w:val="center"/>
          </w:tcPr>
          <w:p w14:paraId="604C6EAF">
            <w:pPr>
              <w:spacing w:after="0" w:line="240" w:lineRule="auto"/>
            </w:pPr>
            <w:r>
              <w:rPr>
                <w:rFonts w:ascii="Aptos" w:hAnsi="Aptos"/>
                <w:b w:val="0"/>
                <w:color w:val="27343D"/>
                <w:sz w:val="17"/>
              </w:rPr>
              <w:t>Builds a regular grid and holds out complete occupied cells. Train and test cannot share grid cells.</w:t>
            </w:r>
          </w:p>
        </w:tc>
        <w:tc>
          <w:tcPr>
            <w:tcW w:w="3384" w:type="dxa"/>
            <w:shd w:val="clear" w:color="auto" w:fill="F8FAFB"/>
            <w:tcMar>
              <w:top w:w="100" w:type="dxa"/>
              <w:left w:w="100" w:type="dxa"/>
              <w:bottom w:w="100" w:type="dxa"/>
              <w:right w:w="100" w:type="dxa"/>
            </w:tcMar>
            <w:vAlign w:val="center"/>
          </w:tcPr>
          <w:p w14:paraId="5246BFAD">
            <w:pPr>
              <w:spacing w:after="0" w:line="240" w:lineRule="auto"/>
            </w:pPr>
            <w:r>
              <w:rPr>
                <w:rFonts w:ascii="Aptos" w:hAnsi="Aptos"/>
                <w:b w:val="0"/>
                <w:color w:val="27343D"/>
                <w:sz w:val="17"/>
              </w:rPr>
              <w:t>Preferred when you want the strongest test of transfer to unseen geography.</w:t>
            </w:r>
          </w:p>
        </w:tc>
      </w:tr>
      <w:tr w14:paraId="30CD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063DE93A">
            <w:pPr>
              <w:spacing w:after="0" w:line="240" w:lineRule="auto"/>
            </w:pPr>
            <w:r>
              <w:rPr>
                <w:rFonts w:ascii="Aptos" w:hAnsi="Aptos"/>
                <w:b/>
                <w:color w:val="27343D"/>
                <w:sz w:val="17"/>
              </w:rPr>
              <w:t>by_row</w:t>
            </w:r>
          </w:p>
        </w:tc>
        <w:tc>
          <w:tcPr>
            <w:tcW w:w="4968" w:type="dxa"/>
            <w:tcMar>
              <w:top w:w="100" w:type="dxa"/>
              <w:left w:w="100" w:type="dxa"/>
              <w:bottom w:w="100" w:type="dxa"/>
              <w:right w:w="100" w:type="dxa"/>
            </w:tcMar>
            <w:vAlign w:val="center"/>
          </w:tcPr>
          <w:p w14:paraId="5F5B17BD">
            <w:pPr>
              <w:spacing w:after="0" w:line="240" w:lineRule="auto"/>
            </w:pPr>
            <w:r>
              <w:rPr>
                <w:rFonts w:ascii="Aptos" w:hAnsi="Aptos"/>
                <w:b w:val="0"/>
                <w:color w:val="27343D"/>
                <w:sz w:val="17"/>
              </w:rPr>
              <w:t>Samples rows spatially across the grid within each class. A grid cell can contain both train and test rows.</w:t>
            </w:r>
          </w:p>
        </w:tc>
        <w:tc>
          <w:tcPr>
            <w:tcW w:w="3384" w:type="dxa"/>
            <w:tcMar>
              <w:top w:w="100" w:type="dxa"/>
              <w:left w:w="100" w:type="dxa"/>
              <w:bottom w:w="100" w:type="dxa"/>
              <w:right w:w="100" w:type="dxa"/>
            </w:tcMar>
            <w:vAlign w:val="center"/>
          </w:tcPr>
          <w:p w14:paraId="180BD37A">
            <w:pPr>
              <w:spacing w:after="0" w:line="240" w:lineRule="auto"/>
            </w:pPr>
            <w:r>
              <w:rPr>
                <w:rFonts w:ascii="Aptos" w:hAnsi="Aptos"/>
                <w:b w:val="0"/>
                <w:color w:val="27343D"/>
                <w:sz w:val="17"/>
              </w:rPr>
              <w:t>Useful when each class must be geographically represented in both sets, but it is less strict against local leakage.</w:t>
            </w:r>
          </w:p>
        </w:tc>
      </w:tr>
    </w:tbl>
    <w:p w14:paraId="647CB5E1">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3CB02FE4">
        <w:tblPrEx>
          <w:tblCellMar>
            <w:top w:w="0" w:type="dxa"/>
            <w:left w:w="108" w:type="dxa"/>
            <w:bottom w:w="0" w:type="dxa"/>
            <w:right w:w="108" w:type="dxa"/>
          </w:tblCellMar>
        </w:tblPrEx>
        <w:trPr>
          <w:jc w:val="center"/>
        </w:trPr>
        <w:tc>
          <w:tcPr>
            <w:tcW w:w="10080" w:type="dxa"/>
            <w:shd w:val="clear" w:color="auto" w:fill="EDF7F5"/>
            <w:tcMar>
              <w:top w:w="130" w:type="dxa"/>
              <w:left w:w="160" w:type="dxa"/>
              <w:bottom w:w="130" w:type="dxa"/>
              <w:right w:w="160" w:type="dxa"/>
            </w:tcMar>
          </w:tcPr>
          <w:p w14:paraId="43BBFB59">
            <w:pPr>
              <w:spacing w:after="40"/>
            </w:pPr>
            <w:r>
              <w:rPr>
                <w:rFonts w:ascii="Aptos" w:hAnsi="Aptos"/>
                <w:b/>
                <w:color w:val="2A9D8F"/>
                <w:sz w:val="20"/>
              </w:rPr>
              <w:t xml:space="preserve">Recommendation for EO parcel models  </w:t>
            </w:r>
            <w:r>
              <w:rPr>
                <w:rFonts w:ascii="Aptos" w:hAnsi="Aptos"/>
                <w:color w:val="27343D"/>
                <w:sz w:val="20"/>
              </w:rPr>
              <w:t>If the objective is to claim geographic generalization, use by_group and inspect the spatial split map. by_row is a compromise for data with limited spatial support.</w:t>
            </w:r>
          </w:p>
        </w:tc>
      </w:tr>
    </w:tbl>
    <w:p w14:paraId="7BA8BD51">
      <w:pPr>
        <w:spacing w:after="0"/>
      </w:pPr>
    </w:p>
    <w:p w14:paraId="1FE48384">
      <w:r>
        <w:br w:type="page"/>
      </w:r>
    </w:p>
    <w:p w14:paraId="35208E04">
      <w:pPr>
        <w:pStyle w:val="2"/>
        <w:keepNext/>
      </w:pPr>
      <w:r>
        <w:t>5. Step 1 — CHECK: validate, clean and profile</w:t>
      </w:r>
    </w:p>
    <w:p w14:paraId="1BB45165">
      <w:pPr>
        <w:pStyle w:val="13"/>
      </w:pPr>
      <w:r>
        <w:rPr>
          <w:rFonts w:ascii="Aptos" w:hAnsi="Aptos"/>
        </w:rPr>
        <w:t>Step 1 is the data-quality gate. It performs inexpensive checks before any model training begins, then saves a normalized copy of the input for all later stages.</w:t>
      </w:r>
    </w:p>
    <w:p w14:paraId="131AC970">
      <w:pPr>
        <w:pStyle w:val="3"/>
        <w:keepNext/>
      </w:pPr>
      <w:r>
        <w:t>5.1 What Step 1 does</w:t>
      </w:r>
    </w:p>
    <w:p w14:paraId="1841AA95">
      <w:pPr>
        <w:pStyle w:val="29"/>
      </w:pPr>
      <w:r>
        <w:rPr>
          <w:rFonts w:ascii="Aptos" w:hAnsi="Aptos"/>
        </w:rPr>
        <w:t>Copies the input table and ensures the ID column exists and is stored as text.</w:t>
      </w:r>
    </w:p>
    <w:p w14:paraId="30670F1F">
      <w:pPr>
        <w:pStyle w:val="29"/>
      </w:pPr>
      <w:r>
        <w:rPr>
          <w:rFonts w:ascii="Aptos" w:hAnsi="Aptos"/>
        </w:rPr>
        <w:t>Validates required columns and prevents target/ID/geometry leakage into the feature list.</w:t>
      </w:r>
    </w:p>
    <w:p w14:paraId="0240433C">
      <w:pPr>
        <w:pStyle w:val="29"/>
      </w:pPr>
      <w:r>
        <w:rPr>
          <w:rFonts w:ascii="Aptos" w:hAnsi="Aptos"/>
        </w:rPr>
        <w:t>Checks unique IDs (when enabled) and verifies each class has enough labeled examples for CV.</w:t>
      </w:r>
    </w:p>
    <w:p w14:paraId="2A818E1D">
      <w:pPr>
        <w:pStyle w:val="29"/>
      </w:pPr>
      <w:r>
        <w:rPr>
          <w:rFonts w:ascii="Aptos" w:hAnsi="Aptos"/>
        </w:rPr>
        <w:t>Optionally applies an IQR outlier filter to numeric features.</w:t>
      </w:r>
    </w:p>
    <w:p w14:paraId="7DB8BE50">
      <w:pPr>
        <w:pStyle w:val="29"/>
      </w:pPr>
      <w:r>
        <w:rPr>
          <w:rFonts w:ascii="Aptos" w:hAnsi="Aptos"/>
        </w:rPr>
        <w:t>Optionally fills numeric nulls using spatial nearest, IDW or kriging interpolation.</w:t>
      </w:r>
    </w:p>
    <w:p w14:paraId="66A35788">
      <w:pPr>
        <w:pStyle w:val="29"/>
      </w:pPr>
      <w:r>
        <w:rPr>
          <w:rFonts w:ascii="Aptos" w:hAnsi="Aptos"/>
        </w:rPr>
        <w:t>Optimizes data types/memory use and identifies numeric versus categorical features.</w:t>
      </w:r>
    </w:p>
    <w:p w14:paraId="457D4F56">
      <w:pPr>
        <w:pStyle w:val="29"/>
      </w:pPr>
      <w:r>
        <w:rPr>
          <w:rFonts w:ascii="Aptos" w:hAnsi="Aptos"/>
        </w:rPr>
        <w:t>Removes all-null and constant features from the active modeling set.</w:t>
      </w:r>
    </w:p>
    <w:p w14:paraId="328E804A">
      <w:pPr>
        <w:pStyle w:val="29"/>
      </w:pPr>
      <w:r>
        <w:rPr>
          <w:rFonts w:ascii="Aptos" w:hAnsi="Aptos"/>
        </w:rPr>
        <w:t>Profiles features, missingness and target distribution, then writes maps/plots when geometry is available.</w:t>
      </w:r>
    </w:p>
    <w:p w14:paraId="4F3E77D8">
      <w:pPr>
        <w:pStyle w:val="3"/>
        <w:keepNext/>
      </w:pPr>
      <w:r>
        <w:t>5.2 IQR outlier filtering</w:t>
      </w:r>
    </w:p>
    <w:p w14:paraId="699C1C67">
      <w:pPr>
        <w:pStyle w:val="13"/>
      </w:pPr>
      <w:r>
        <w:rPr>
          <w:rFonts w:ascii="Aptos" w:hAnsi="Aptos"/>
        </w:rPr>
        <w:t>If enabled, the interquartile-range (IQR) rule identifies unusually extreme numeric values. The pipeline does not delete the parcel. Instead, it replaces the outlying cell with a null value. This is safer because the row remains available and the missing value can later be spatially interpolated or imputed by a model preprocessor.</w:t>
      </w:r>
    </w:p>
    <w:tbl>
      <w:tblPr>
        <w:tblStyle w:val="12"/>
        <w:tblW w:w="0" w:type="auto"/>
        <w:jc w:val="center"/>
        <w:tblLayout w:type="autofit"/>
        <w:tblCellMar>
          <w:top w:w="0" w:type="dxa"/>
          <w:left w:w="108" w:type="dxa"/>
          <w:bottom w:w="0" w:type="dxa"/>
          <w:right w:w="108" w:type="dxa"/>
        </w:tblCellMar>
      </w:tblPr>
      <w:tblGrid>
        <w:gridCol w:w="10080"/>
      </w:tblGrid>
      <w:tr w14:paraId="233B0C0E">
        <w:tblPrEx>
          <w:tblCellMar>
            <w:top w:w="0" w:type="dxa"/>
            <w:left w:w="108" w:type="dxa"/>
            <w:bottom w:w="0" w:type="dxa"/>
            <w:right w:w="108" w:type="dxa"/>
          </w:tblCellMar>
        </w:tblPrEx>
        <w:trPr>
          <w:jc w:val="center"/>
        </w:trPr>
        <w:tc>
          <w:tcPr>
            <w:tcW w:w="10080" w:type="dxa"/>
            <w:shd w:val="clear" w:color="auto" w:fill="FFF8E8"/>
            <w:tcMar>
              <w:top w:w="130" w:type="dxa"/>
              <w:left w:w="160" w:type="dxa"/>
              <w:bottom w:w="130" w:type="dxa"/>
              <w:right w:w="160" w:type="dxa"/>
            </w:tcMar>
          </w:tcPr>
          <w:p w14:paraId="61A06F60">
            <w:pPr>
              <w:spacing w:after="40"/>
            </w:pPr>
            <w:r>
              <w:rPr>
                <w:rFonts w:ascii="Aptos" w:hAnsi="Aptos"/>
                <w:b/>
                <w:color w:val="E9A23B"/>
                <w:sz w:val="20"/>
              </w:rPr>
              <w:t xml:space="preserve">Interpretation  </w:t>
            </w:r>
            <w:r>
              <w:rPr>
                <w:rFonts w:ascii="Aptos" w:hAnsi="Aptos"/>
                <w:color w:val="27343D"/>
                <w:sz w:val="20"/>
              </w:rPr>
              <w:t>A high total_outliers_replaced value is not automatically bad. It is a prompt to inspect the configured IQR bounds and confirm that valid phenological extremes are not being treated as errors.</w:t>
            </w:r>
          </w:p>
        </w:tc>
      </w:tr>
    </w:tbl>
    <w:p w14:paraId="73D8317A">
      <w:pPr>
        <w:spacing w:after="0"/>
      </w:pPr>
    </w:p>
    <w:p w14:paraId="6E50F47B">
      <w:pPr>
        <w:pStyle w:val="3"/>
        <w:keepNext/>
      </w:pPr>
      <w:r>
        <w:t>5.3 Spatial interpolation</w:t>
      </w:r>
    </w:p>
    <w:p w14:paraId="24008B4F">
      <w:pPr>
        <w:pStyle w:val="13"/>
      </w:pPr>
      <w:r>
        <w:rPr>
          <w:rFonts w:ascii="Aptos" w:hAnsi="Aptos"/>
        </w:rPr>
        <w:t>When configured, the pipeline can fill missing numeric feature cells from nearby parcels using nearest-neighbor, inverse-distance weighting (IDW), or kriging. Geometry is required. Non-numeric features and completely empty columns are skipped. The original geometry is preserved.</w:t>
      </w:r>
    </w:p>
    <w:p w14:paraId="287DC183">
      <w:pPr>
        <w:pStyle w:val="3"/>
        <w:keepNext/>
      </w:pPr>
      <w:r>
        <w:t>5.4 Main Step 1 outputs and how to read them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494B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17324D"/>
            <w:tcMar>
              <w:top w:w="100" w:type="dxa"/>
              <w:left w:w="100" w:type="dxa"/>
              <w:bottom w:w="100" w:type="dxa"/>
              <w:right w:w="100" w:type="dxa"/>
            </w:tcMar>
            <w:vAlign w:val="center"/>
          </w:tcPr>
          <w:p w14:paraId="6610CB3D">
            <w:pPr>
              <w:spacing w:after="0" w:line="240" w:lineRule="auto"/>
              <w:jc w:val="center"/>
            </w:pPr>
            <w:r>
              <w:rPr>
                <w:rFonts w:ascii="Aptos" w:hAnsi="Aptos"/>
                <w:b/>
                <w:color w:val="FFFFFF"/>
                <w:sz w:val="16"/>
              </w:rPr>
              <w:t>Output</w:t>
            </w:r>
          </w:p>
        </w:tc>
        <w:tc>
          <w:tcPr>
            <w:tcW w:w="4464" w:type="dxa"/>
            <w:shd w:val="clear" w:color="auto" w:fill="17324D"/>
            <w:tcMar>
              <w:top w:w="100" w:type="dxa"/>
              <w:left w:w="100" w:type="dxa"/>
              <w:bottom w:w="100" w:type="dxa"/>
              <w:right w:w="100" w:type="dxa"/>
            </w:tcMar>
            <w:vAlign w:val="center"/>
          </w:tcPr>
          <w:p w14:paraId="67F1C9BD">
            <w:pPr>
              <w:spacing w:after="0" w:line="240" w:lineRule="auto"/>
              <w:jc w:val="center"/>
            </w:pPr>
            <w:r>
              <w:rPr>
                <w:rFonts w:ascii="Aptos" w:hAnsi="Aptos"/>
                <w:b/>
                <w:color w:val="FFFFFF"/>
                <w:sz w:val="16"/>
              </w:rPr>
              <w:t>What it contains</w:t>
            </w:r>
          </w:p>
        </w:tc>
        <w:tc>
          <w:tcPr>
            <w:tcW w:w="3528" w:type="dxa"/>
            <w:shd w:val="clear" w:color="auto" w:fill="17324D"/>
            <w:tcMar>
              <w:top w:w="100" w:type="dxa"/>
              <w:left w:w="100" w:type="dxa"/>
              <w:bottom w:w="100" w:type="dxa"/>
              <w:right w:w="100" w:type="dxa"/>
            </w:tcMar>
            <w:vAlign w:val="center"/>
          </w:tcPr>
          <w:p w14:paraId="32C1EC74">
            <w:pPr>
              <w:spacing w:after="0" w:line="240" w:lineRule="auto"/>
              <w:jc w:val="center"/>
            </w:pPr>
            <w:r>
              <w:rPr>
                <w:rFonts w:ascii="Aptos" w:hAnsi="Aptos"/>
                <w:b/>
                <w:color w:val="FFFFFF"/>
                <w:sz w:val="16"/>
              </w:rPr>
              <w:t>How to interpret it</w:t>
            </w:r>
          </w:p>
        </w:tc>
      </w:tr>
      <w:tr w14:paraId="6C77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00" w:type="dxa"/>
              <w:bottom w:w="100" w:type="dxa"/>
              <w:right w:w="100" w:type="dxa"/>
            </w:tcMar>
            <w:vAlign w:val="center"/>
          </w:tcPr>
          <w:p w14:paraId="372F7E68">
            <w:pPr>
              <w:spacing w:after="0" w:line="240" w:lineRule="auto"/>
            </w:pPr>
            <w:r>
              <w:rPr>
                <w:rFonts w:ascii="Aptos" w:hAnsi="Aptos"/>
                <w:b/>
                <w:color w:val="27343D"/>
                <w:sz w:val="16"/>
              </w:rPr>
              <w:t>check_summary.json</w:t>
            </w:r>
          </w:p>
        </w:tc>
        <w:tc>
          <w:tcPr>
            <w:tcW w:w="4464" w:type="dxa"/>
            <w:tcMar>
              <w:top w:w="100" w:type="dxa"/>
              <w:left w:w="100" w:type="dxa"/>
              <w:bottom w:w="100" w:type="dxa"/>
              <w:right w:w="100" w:type="dxa"/>
            </w:tcMar>
            <w:vAlign w:val="center"/>
          </w:tcPr>
          <w:p w14:paraId="283B52C8">
            <w:pPr>
              <w:spacing w:after="0" w:line="240" w:lineRule="auto"/>
            </w:pPr>
            <w:r>
              <w:rPr>
                <w:rFonts w:ascii="Aptos" w:hAnsi="Aptos"/>
                <w:b w:val="0"/>
                <w:color w:val="27343D"/>
                <w:sz w:val="16"/>
              </w:rPr>
              <w:t>Rows, labeled/unknown counts, active features, class distribution, IQR/interpolation summaries, configuration snapshot.</w:t>
            </w:r>
          </w:p>
        </w:tc>
        <w:tc>
          <w:tcPr>
            <w:tcW w:w="3528" w:type="dxa"/>
            <w:tcMar>
              <w:top w:w="100" w:type="dxa"/>
              <w:left w:w="100" w:type="dxa"/>
              <w:bottom w:w="100" w:type="dxa"/>
              <w:right w:w="100" w:type="dxa"/>
            </w:tcMar>
            <w:vAlign w:val="center"/>
          </w:tcPr>
          <w:p w14:paraId="63E3F835">
            <w:pPr>
              <w:spacing w:after="0" w:line="240" w:lineRule="auto"/>
            </w:pPr>
            <w:r>
              <w:rPr>
                <w:rFonts w:ascii="Aptos" w:hAnsi="Aptos"/>
                <w:b w:val="0"/>
                <w:color w:val="27343D"/>
                <w:sz w:val="16"/>
              </w:rPr>
              <w:t>Start here. Verify row counts and that expected features remain active.</w:t>
            </w:r>
          </w:p>
        </w:tc>
      </w:tr>
      <w:tr w14:paraId="051C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8FAFB"/>
            <w:tcMar>
              <w:top w:w="100" w:type="dxa"/>
              <w:left w:w="100" w:type="dxa"/>
              <w:bottom w:w="100" w:type="dxa"/>
              <w:right w:w="100" w:type="dxa"/>
            </w:tcMar>
            <w:vAlign w:val="center"/>
          </w:tcPr>
          <w:p w14:paraId="45748ED3">
            <w:pPr>
              <w:spacing w:after="0" w:line="240" w:lineRule="auto"/>
            </w:pPr>
            <w:r>
              <w:rPr>
                <w:rFonts w:ascii="Aptos" w:hAnsi="Aptos"/>
                <w:b/>
                <w:color w:val="27343D"/>
                <w:sz w:val="16"/>
              </w:rPr>
              <w:t>feature_profile.csv</w:t>
            </w:r>
          </w:p>
        </w:tc>
        <w:tc>
          <w:tcPr>
            <w:tcW w:w="4464" w:type="dxa"/>
            <w:shd w:val="clear" w:color="auto" w:fill="F8FAFB"/>
            <w:tcMar>
              <w:top w:w="100" w:type="dxa"/>
              <w:left w:w="100" w:type="dxa"/>
              <w:bottom w:w="100" w:type="dxa"/>
              <w:right w:w="100" w:type="dxa"/>
            </w:tcMar>
            <w:vAlign w:val="center"/>
          </w:tcPr>
          <w:p w14:paraId="042A8383">
            <w:pPr>
              <w:spacing w:after="0" w:line="240" w:lineRule="auto"/>
            </w:pPr>
            <w:r>
              <w:rPr>
                <w:rFonts w:ascii="Aptos" w:hAnsi="Aptos"/>
                <w:b w:val="0"/>
                <w:color w:val="27343D"/>
                <w:sz w:val="16"/>
              </w:rPr>
              <w:t>Data type, missingness, uniqueness and descriptive feature profile.</w:t>
            </w:r>
          </w:p>
        </w:tc>
        <w:tc>
          <w:tcPr>
            <w:tcW w:w="3528" w:type="dxa"/>
            <w:shd w:val="clear" w:color="auto" w:fill="F8FAFB"/>
            <w:tcMar>
              <w:top w:w="100" w:type="dxa"/>
              <w:left w:w="100" w:type="dxa"/>
              <w:bottom w:w="100" w:type="dxa"/>
              <w:right w:w="100" w:type="dxa"/>
            </w:tcMar>
            <w:vAlign w:val="center"/>
          </w:tcPr>
          <w:p w14:paraId="6FE40505">
            <w:pPr>
              <w:spacing w:after="0" w:line="240" w:lineRule="auto"/>
            </w:pPr>
            <w:r>
              <w:rPr>
                <w:rFonts w:ascii="Aptos" w:hAnsi="Aptos"/>
                <w:b w:val="0"/>
                <w:color w:val="27343D"/>
                <w:sz w:val="16"/>
              </w:rPr>
              <w:t>Look for very high missingness, suspiciously constant features or unexpected types.</w:t>
            </w:r>
          </w:p>
        </w:tc>
      </w:tr>
      <w:tr w14:paraId="7068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00" w:type="dxa"/>
              <w:bottom w:w="100" w:type="dxa"/>
              <w:right w:w="100" w:type="dxa"/>
            </w:tcMar>
            <w:vAlign w:val="center"/>
          </w:tcPr>
          <w:p w14:paraId="303F53C7">
            <w:pPr>
              <w:spacing w:after="0" w:line="240" w:lineRule="auto"/>
            </w:pPr>
            <w:r>
              <w:rPr>
                <w:rFonts w:ascii="Aptos" w:hAnsi="Aptos"/>
                <w:b/>
                <w:color w:val="27343D"/>
                <w:sz w:val="16"/>
              </w:rPr>
              <w:t>missing_values.png</w:t>
            </w:r>
          </w:p>
        </w:tc>
        <w:tc>
          <w:tcPr>
            <w:tcW w:w="4464" w:type="dxa"/>
            <w:tcMar>
              <w:top w:w="100" w:type="dxa"/>
              <w:left w:w="100" w:type="dxa"/>
              <w:bottom w:w="100" w:type="dxa"/>
              <w:right w:w="100" w:type="dxa"/>
            </w:tcMar>
            <w:vAlign w:val="center"/>
          </w:tcPr>
          <w:p w14:paraId="37675352">
            <w:pPr>
              <w:spacing w:after="0" w:line="240" w:lineRule="auto"/>
            </w:pPr>
            <w:r>
              <w:rPr>
                <w:rFonts w:ascii="Aptos" w:hAnsi="Aptos"/>
                <w:b w:val="0"/>
                <w:color w:val="27343D"/>
                <w:sz w:val="16"/>
              </w:rPr>
              <w:t>Visual missing-value pattern.</w:t>
            </w:r>
          </w:p>
        </w:tc>
        <w:tc>
          <w:tcPr>
            <w:tcW w:w="3528" w:type="dxa"/>
            <w:tcMar>
              <w:top w:w="100" w:type="dxa"/>
              <w:left w:w="100" w:type="dxa"/>
              <w:bottom w:w="100" w:type="dxa"/>
              <w:right w:w="100" w:type="dxa"/>
            </w:tcMar>
            <w:vAlign w:val="center"/>
          </w:tcPr>
          <w:p w14:paraId="7123742C">
            <w:pPr>
              <w:spacing w:after="0" w:line="240" w:lineRule="auto"/>
            </w:pPr>
            <w:r>
              <w:rPr>
                <w:rFonts w:ascii="Aptos" w:hAnsi="Aptos"/>
                <w:b w:val="0"/>
                <w:color w:val="27343D"/>
                <w:sz w:val="16"/>
              </w:rPr>
              <w:t>Structured gaps by month/region may indicate upstream EO availability issues.</w:t>
            </w:r>
          </w:p>
        </w:tc>
      </w:tr>
      <w:tr w14:paraId="2763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shd w:val="clear" w:color="auto" w:fill="F8FAFB"/>
            <w:tcMar>
              <w:top w:w="100" w:type="dxa"/>
              <w:left w:w="100" w:type="dxa"/>
              <w:bottom w:w="100" w:type="dxa"/>
              <w:right w:w="100" w:type="dxa"/>
            </w:tcMar>
            <w:vAlign w:val="center"/>
          </w:tcPr>
          <w:p w14:paraId="4E9AC4FB">
            <w:pPr>
              <w:spacing w:after="0" w:line="240" w:lineRule="auto"/>
            </w:pPr>
            <w:r>
              <w:rPr>
                <w:rFonts w:ascii="Aptos" w:hAnsi="Aptos"/>
                <w:b/>
                <w:color w:val="27343D"/>
                <w:sz w:val="16"/>
              </w:rPr>
              <w:t>target_distribution.png</w:t>
            </w:r>
          </w:p>
        </w:tc>
        <w:tc>
          <w:tcPr>
            <w:tcW w:w="4464" w:type="dxa"/>
            <w:shd w:val="clear" w:color="auto" w:fill="F8FAFB"/>
            <w:tcMar>
              <w:top w:w="100" w:type="dxa"/>
              <w:left w:w="100" w:type="dxa"/>
              <w:bottom w:w="100" w:type="dxa"/>
              <w:right w:w="100" w:type="dxa"/>
            </w:tcMar>
            <w:vAlign w:val="center"/>
          </w:tcPr>
          <w:p w14:paraId="6894DB09">
            <w:pPr>
              <w:spacing w:after="0" w:line="240" w:lineRule="auto"/>
            </w:pPr>
            <w:r>
              <w:rPr>
                <w:rFonts w:ascii="Aptos" w:hAnsi="Aptos"/>
                <w:b w:val="0"/>
                <w:color w:val="27343D"/>
                <w:sz w:val="16"/>
              </w:rPr>
              <w:t>Number of labeled examples per class.</w:t>
            </w:r>
          </w:p>
        </w:tc>
        <w:tc>
          <w:tcPr>
            <w:tcW w:w="3528" w:type="dxa"/>
            <w:shd w:val="clear" w:color="auto" w:fill="F8FAFB"/>
            <w:tcMar>
              <w:top w:w="100" w:type="dxa"/>
              <w:left w:w="100" w:type="dxa"/>
              <w:bottom w:w="100" w:type="dxa"/>
              <w:right w:w="100" w:type="dxa"/>
            </w:tcMar>
            <w:vAlign w:val="center"/>
          </w:tcPr>
          <w:p w14:paraId="238DA699">
            <w:pPr>
              <w:spacing w:after="0" w:line="240" w:lineRule="auto"/>
            </w:pPr>
            <w:r>
              <w:rPr>
                <w:rFonts w:ascii="Aptos" w:hAnsi="Aptos"/>
                <w:b w:val="0"/>
                <w:color w:val="27343D"/>
                <w:sz w:val="16"/>
              </w:rPr>
              <w:t>Large imbalance suggests macro-F1, balanced accuracy and/or balancing options are important.</w:t>
            </w:r>
          </w:p>
        </w:tc>
      </w:tr>
      <w:tr w14:paraId="687B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100" w:type="dxa"/>
              <w:left w:w="100" w:type="dxa"/>
              <w:bottom w:w="100" w:type="dxa"/>
              <w:right w:w="100" w:type="dxa"/>
            </w:tcMar>
            <w:vAlign w:val="center"/>
          </w:tcPr>
          <w:p w14:paraId="5CB8E237">
            <w:pPr>
              <w:spacing w:after="0" w:line="240" w:lineRule="auto"/>
            </w:pPr>
            <w:r>
              <w:rPr>
                <w:rFonts w:ascii="Aptos" w:hAnsi="Aptos"/>
                <w:b/>
                <w:color w:val="27343D"/>
                <w:sz w:val="16"/>
              </w:rPr>
              <w:t>known_labels_map.*</w:t>
            </w:r>
          </w:p>
        </w:tc>
        <w:tc>
          <w:tcPr>
            <w:tcW w:w="4464" w:type="dxa"/>
            <w:tcMar>
              <w:top w:w="100" w:type="dxa"/>
              <w:left w:w="100" w:type="dxa"/>
              <w:bottom w:w="100" w:type="dxa"/>
              <w:right w:w="100" w:type="dxa"/>
            </w:tcMar>
            <w:vAlign w:val="center"/>
          </w:tcPr>
          <w:p w14:paraId="3A8628D3">
            <w:pPr>
              <w:spacing w:after="0" w:line="240" w:lineRule="auto"/>
            </w:pPr>
            <w:r>
              <w:rPr>
                <w:rFonts w:ascii="Aptos" w:hAnsi="Aptos"/>
                <w:b w:val="0"/>
                <w:color w:val="27343D"/>
                <w:sz w:val="16"/>
              </w:rPr>
              <w:t>Spatial distribution of known labels.</w:t>
            </w:r>
          </w:p>
        </w:tc>
        <w:tc>
          <w:tcPr>
            <w:tcW w:w="3528" w:type="dxa"/>
            <w:tcMar>
              <w:top w:w="100" w:type="dxa"/>
              <w:left w:w="100" w:type="dxa"/>
              <w:bottom w:w="100" w:type="dxa"/>
              <w:right w:w="100" w:type="dxa"/>
            </w:tcMar>
            <w:vAlign w:val="center"/>
          </w:tcPr>
          <w:p w14:paraId="2E3DE7B6">
            <w:pPr>
              <w:spacing w:after="0" w:line="240" w:lineRule="auto"/>
            </w:pPr>
            <w:r>
              <w:rPr>
                <w:rFonts w:ascii="Aptos" w:hAnsi="Aptos"/>
                <w:b w:val="0"/>
                <w:color w:val="27343D"/>
                <w:sz w:val="16"/>
              </w:rPr>
              <w:t>Check whether classes are geographically clustered or absent from regions.</w:t>
            </w:r>
          </w:p>
        </w:tc>
      </w:tr>
    </w:tbl>
    <w:p w14:paraId="57D43048">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197FFE8F">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505A45CC">
            <w:pPr>
              <w:spacing w:after="40"/>
            </w:pPr>
            <w:r>
              <w:rPr>
                <w:rFonts w:ascii="Aptos" w:hAnsi="Aptos"/>
                <w:b/>
                <w:color w:val="C95A5A"/>
                <w:sz w:val="20"/>
              </w:rPr>
              <w:t xml:space="preserve">Quality gate before Step 2  </w:t>
            </w:r>
            <w:r>
              <w:rPr>
                <w:rFonts w:ascii="Aptos" w:hAnsi="Aptos"/>
                <w:color w:val="27343D"/>
                <w:sz w:val="20"/>
              </w:rPr>
              <w:t>Do not proceed blindly if expected features are missing, classes have very few samples, or the known-label map reveals extreme geographic concentration.</w:t>
            </w:r>
          </w:p>
        </w:tc>
      </w:tr>
    </w:tbl>
    <w:p w14:paraId="43B2FBD2">
      <w:pPr>
        <w:spacing w:after="0"/>
      </w:pPr>
    </w:p>
    <w:p w14:paraId="7873EDE9">
      <w:pPr>
        <w:pStyle w:val="2"/>
        <w:keepNext/>
      </w:pPr>
      <w:r>
        <w:t>6. Step 2 — PREPARE: encode, split and create CV folds</w:t>
      </w:r>
    </w:p>
    <w:p w14:paraId="6F38C24B">
      <w:pPr>
        <w:pStyle w:val="13"/>
      </w:pPr>
      <w:r>
        <w:rPr>
          <w:rFonts w:ascii="Aptos" w:hAnsi="Aptos"/>
        </w:rPr>
        <w:t>Step 2 freezes the experimental design. It uses only rows with known labels, converts text labels to integer codes for model libraries, and creates the train/test and CV partitions that later stages must respect.</w:t>
      </w:r>
    </w:p>
    <w:p w14:paraId="0F565929">
      <w:pPr>
        <w:pStyle w:val="3"/>
        <w:keepNext/>
      </w:pPr>
      <w:r>
        <w:t>6.1 Label encoding</w:t>
      </w:r>
    </w:p>
    <w:p w14:paraId="0D5D371C">
      <w:pPr>
        <w:pStyle w:val="13"/>
      </w:pPr>
      <w:r>
        <w:rPr>
          <w:rFonts w:ascii="Aptos" w:hAnsi="Aptos"/>
        </w:rPr>
        <w:t>Class labels are stored as strings for reporting, but many estimators require integers. LabelEncoder creates a deterministic mapping such as Wheat → 0, Barley → 1. The mapping is saved so predictions can always be converted back to the original labels.</w:t>
      </w:r>
    </w:p>
    <w:p w14:paraId="439DCFBB">
      <w:pPr>
        <w:pStyle w:val="3"/>
        <w:keepNext/>
      </w:pPr>
      <w:r>
        <w:t>6.2 Holdout train/test split</w:t>
      </w:r>
    </w:p>
    <w:p w14:paraId="503B6B78">
      <w:pPr>
        <w:pStyle w:val="13"/>
      </w:pPr>
      <w:r>
        <w:rPr>
          <w:rFonts w:ascii="Aptos" w:hAnsi="Aptos"/>
        </w:rPr>
        <w:t>The test split is frozen here. With standard splitting it is stratified by class. With spatial splitting it uses the configured spatial strategy. Later model selection is not allowed to “peek” at the test result.</w:t>
      </w:r>
    </w:p>
    <w:p w14:paraId="321AAF1E">
      <w:pPr>
        <w:pStyle w:val="3"/>
        <w:keepNext/>
      </w:pPr>
      <w:r>
        <w:t>6.3 Cross-validation folds</w:t>
      </w:r>
    </w:p>
    <w:p w14:paraId="2FFFE1F5">
      <w:pPr>
        <w:pStyle w:val="13"/>
      </w:pPr>
      <w:r>
        <w:rPr>
          <w:rFonts w:ascii="Aptos" w:hAnsi="Aptos"/>
        </w:rPr>
        <w:t>CV folds are created only inside the training portion. Standard projects use StratifiedKFold. Spatial projects use StratifiedGroupKFold with grid-cell groups, so validation folds can test spatial generalization inside training as well.</w:t>
      </w:r>
    </w:p>
    <w:p w14:paraId="6FE1BC99">
      <w:pPr>
        <w:pStyle w:val="3"/>
        <w:keepNext/>
      </w:pPr>
      <w:r>
        <w:t>6.4 Main Step 2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657C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64" w:type="dxa"/>
            <w:shd w:val="clear" w:color="auto" w:fill="17324D"/>
            <w:tcMar>
              <w:top w:w="100" w:type="dxa"/>
              <w:left w:w="100" w:type="dxa"/>
              <w:bottom w:w="100" w:type="dxa"/>
              <w:right w:w="100" w:type="dxa"/>
            </w:tcMar>
            <w:vAlign w:val="center"/>
          </w:tcPr>
          <w:p w14:paraId="1CA9F2FE">
            <w:pPr>
              <w:spacing w:after="0" w:line="240" w:lineRule="auto"/>
              <w:jc w:val="center"/>
            </w:pPr>
            <w:r>
              <w:rPr>
                <w:rFonts w:ascii="Aptos" w:hAnsi="Aptos"/>
                <w:b/>
                <w:color w:val="FFFFFF"/>
                <w:sz w:val="16"/>
              </w:rPr>
              <w:t>Output</w:t>
            </w:r>
          </w:p>
        </w:tc>
        <w:tc>
          <w:tcPr>
            <w:tcW w:w="3816" w:type="dxa"/>
            <w:shd w:val="clear" w:color="auto" w:fill="17324D"/>
            <w:tcMar>
              <w:top w:w="100" w:type="dxa"/>
              <w:left w:w="100" w:type="dxa"/>
              <w:bottom w:w="100" w:type="dxa"/>
              <w:right w:w="100" w:type="dxa"/>
            </w:tcMar>
            <w:vAlign w:val="center"/>
          </w:tcPr>
          <w:p w14:paraId="4E408FE3">
            <w:pPr>
              <w:spacing w:after="0" w:line="240" w:lineRule="auto"/>
              <w:jc w:val="center"/>
            </w:pPr>
            <w:r>
              <w:rPr>
                <w:rFonts w:ascii="Aptos" w:hAnsi="Aptos"/>
                <w:b/>
                <w:color w:val="FFFFFF"/>
                <w:sz w:val="16"/>
              </w:rPr>
              <w:t>Purpose</w:t>
            </w:r>
          </w:p>
        </w:tc>
        <w:tc>
          <w:tcPr>
            <w:tcW w:w="3888" w:type="dxa"/>
            <w:shd w:val="clear" w:color="auto" w:fill="17324D"/>
            <w:tcMar>
              <w:top w:w="100" w:type="dxa"/>
              <w:left w:w="100" w:type="dxa"/>
              <w:bottom w:w="100" w:type="dxa"/>
              <w:right w:w="100" w:type="dxa"/>
            </w:tcMar>
            <w:vAlign w:val="center"/>
          </w:tcPr>
          <w:p w14:paraId="5ABADDE0">
            <w:pPr>
              <w:spacing w:after="0" w:line="240" w:lineRule="auto"/>
              <w:jc w:val="center"/>
            </w:pPr>
            <w:r>
              <w:rPr>
                <w:rFonts w:ascii="Aptos" w:hAnsi="Aptos"/>
                <w:b/>
                <w:color w:val="FFFFFF"/>
                <w:sz w:val="16"/>
              </w:rPr>
              <w:t>Interpretation</w:t>
            </w:r>
          </w:p>
        </w:tc>
      </w:tr>
      <w:tr w14:paraId="4864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38CCAE4E">
            <w:pPr>
              <w:spacing w:after="0" w:line="240" w:lineRule="auto"/>
            </w:pPr>
            <w:r>
              <w:rPr>
                <w:rFonts w:ascii="Aptos" w:hAnsi="Aptos"/>
                <w:b/>
                <w:color w:val="27343D"/>
                <w:sz w:val="16"/>
              </w:rPr>
              <w:t>train_dataset.joblib</w:t>
            </w:r>
          </w:p>
        </w:tc>
        <w:tc>
          <w:tcPr>
            <w:tcW w:w="3816" w:type="dxa"/>
            <w:tcMar>
              <w:top w:w="100" w:type="dxa"/>
              <w:left w:w="100" w:type="dxa"/>
              <w:bottom w:w="100" w:type="dxa"/>
              <w:right w:w="100" w:type="dxa"/>
            </w:tcMar>
            <w:vAlign w:val="center"/>
          </w:tcPr>
          <w:p w14:paraId="777C6CA8">
            <w:pPr>
              <w:spacing w:after="0" w:line="240" w:lineRule="auto"/>
            </w:pPr>
            <w:r>
              <w:rPr>
                <w:rFonts w:ascii="Aptos" w:hAnsi="Aptos"/>
                <w:b w:val="0"/>
                <w:color w:val="27343D"/>
                <w:sz w:val="16"/>
              </w:rPr>
              <w:t>Frozen training partition.</w:t>
            </w:r>
          </w:p>
        </w:tc>
        <w:tc>
          <w:tcPr>
            <w:tcW w:w="3888" w:type="dxa"/>
            <w:tcMar>
              <w:top w:w="100" w:type="dxa"/>
              <w:left w:w="100" w:type="dxa"/>
              <w:bottom w:w="100" w:type="dxa"/>
              <w:right w:w="100" w:type="dxa"/>
            </w:tcMar>
            <w:vAlign w:val="center"/>
          </w:tcPr>
          <w:p w14:paraId="71C5723E">
            <w:pPr>
              <w:spacing w:after="0" w:line="240" w:lineRule="auto"/>
            </w:pPr>
            <w:r>
              <w:rPr>
                <w:rFonts w:ascii="Aptos" w:hAnsi="Aptos"/>
                <w:b w:val="0"/>
                <w:color w:val="27343D"/>
                <w:sz w:val="16"/>
              </w:rPr>
              <w:t>Used for CV, tuning, OOF predictions and final strategy selection.</w:t>
            </w:r>
          </w:p>
        </w:tc>
      </w:tr>
      <w:tr w14:paraId="0250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5B190B82">
            <w:pPr>
              <w:spacing w:after="0" w:line="240" w:lineRule="auto"/>
            </w:pPr>
            <w:r>
              <w:rPr>
                <w:rFonts w:ascii="Aptos" w:hAnsi="Aptos"/>
                <w:b/>
                <w:color w:val="27343D"/>
                <w:sz w:val="16"/>
              </w:rPr>
              <w:t>test_dataset.joblib</w:t>
            </w:r>
          </w:p>
        </w:tc>
        <w:tc>
          <w:tcPr>
            <w:tcW w:w="3816" w:type="dxa"/>
            <w:shd w:val="clear" w:color="auto" w:fill="F8FAFB"/>
            <w:tcMar>
              <w:top w:w="100" w:type="dxa"/>
              <w:left w:w="100" w:type="dxa"/>
              <w:bottom w:w="100" w:type="dxa"/>
              <w:right w:w="100" w:type="dxa"/>
            </w:tcMar>
            <w:vAlign w:val="center"/>
          </w:tcPr>
          <w:p w14:paraId="25588D02">
            <w:pPr>
              <w:spacing w:after="0" w:line="240" w:lineRule="auto"/>
            </w:pPr>
            <w:r>
              <w:rPr>
                <w:rFonts w:ascii="Aptos" w:hAnsi="Aptos"/>
                <w:b w:val="0"/>
                <w:color w:val="27343D"/>
                <w:sz w:val="16"/>
              </w:rPr>
              <w:t>Frozen holdout partition.</w:t>
            </w:r>
          </w:p>
        </w:tc>
        <w:tc>
          <w:tcPr>
            <w:tcW w:w="3888" w:type="dxa"/>
            <w:shd w:val="clear" w:color="auto" w:fill="F8FAFB"/>
            <w:tcMar>
              <w:top w:w="100" w:type="dxa"/>
              <w:left w:w="100" w:type="dxa"/>
              <w:bottom w:w="100" w:type="dxa"/>
              <w:right w:w="100" w:type="dxa"/>
            </w:tcMar>
            <w:vAlign w:val="center"/>
          </w:tcPr>
          <w:p w14:paraId="286B3180">
            <w:pPr>
              <w:spacing w:after="0" w:line="240" w:lineRule="auto"/>
            </w:pPr>
            <w:r>
              <w:rPr>
                <w:rFonts w:ascii="Aptos" w:hAnsi="Aptos"/>
                <w:b w:val="0"/>
                <w:color w:val="27343D"/>
                <w:sz w:val="16"/>
              </w:rPr>
              <w:t>Used in Step 4 only for unbiased final evaluation.</w:t>
            </w:r>
          </w:p>
        </w:tc>
      </w:tr>
      <w:tr w14:paraId="5755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0637E5C4">
            <w:pPr>
              <w:spacing w:after="0" w:line="240" w:lineRule="auto"/>
            </w:pPr>
            <w:r>
              <w:rPr>
                <w:rFonts w:ascii="Aptos" w:hAnsi="Aptos"/>
                <w:b/>
                <w:color w:val="27343D"/>
                <w:sz w:val="16"/>
              </w:rPr>
              <w:t>labeled_dataset.joblib</w:t>
            </w:r>
          </w:p>
        </w:tc>
        <w:tc>
          <w:tcPr>
            <w:tcW w:w="3816" w:type="dxa"/>
            <w:tcMar>
              <w:top w:w="100" w:type="dxa"/>
              <w:left w:w="100" w:type="dxa"/>
              <w:bottom w:w="100" w:type="dxa"/>
              <w:right w:w="100" w:type="dxa"/>
            </w:tcMar>
            <w:vAlign w:val="center"/>
          </w:tcPr>
          <w:p w14:paraId="3B8E1067">
            <w:pPr>
              <w:spacing w:after="0" w:line="240" w:lineRule="auto"/>
            </w:pPr>
            <w:r>
              <w:rPr>
                <w:rFonts w:ascii="Aptos" w:hAnsi="Aptos"/>
                <w:b w:val="0"/>
                <w:color w:val="27343D"/>
                <w:sz w:val="16"/>
              </w:rPr>
              <w:t>All rows with known labels.</w:t>
            </w:r>
          </w:p>
        </w:tc>
        <w:tc>
          <w:tcPr>
            <w:tcW w:w="3888" w:type="dxa"/>
            <w:tcMar>
              <w:top w:w="100" w:type="dxa"/>
              <w:left w:w="100" w:type="dxa"/>
              <w:bottom w:w="100" w:type="dxa"/>
              <w:right w:w="100" w:type="dxa"/>
            </w:tcMar>
            <w:vAlign w:val="center"/>
          </w:tcPr>
          <w:p w14:paraId="1369BCB7">
            <w:pPr>
              <w:spacing w:after="0" w:line="240" w:lineRule="auto"/>
            </w:pPr>
            <w:r>
              <w:rPr>
                <w:rFonts w:ascii="Aptos" w:hAnsi="Aptos"/>
                <w:b w:val="0"/>
                <w:color w:val="27343D"/>
                <w:sz w:val="16"/>
              </w:rPr>
              <w:t>Used in Step 5 to refit the already-selected strategy before production prediction.</w:t>
            </w:r>
          </w:p>
        </w:tc>
      </w:tr>
      <w:tr w14:paraId="401E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61EDD517">
            <w:pPr>
              <w:spacing w:after="0" w:line="240" w:lineRule="auto"/>
            </w:pPr>
            <w:r>
              <w:rPr>
                <w:rFonts w:ascii="Aptos" w:hAnsi="Aptos"/>
                <w:b/>
                <w:color w:val="27343D"/>
                <w:sz w:val="16"/>
              </w:rPr>
              <w:t>prepare_summary.json</w:t>
            </w:r>
          </w:p>
        </w:tc>
        <w:tc>
          <w:tcPr>
            <w:tcW w:w="3816" w:type="dxa"/>
            <w:shd w:val="clear" w:color="auto" w:fill="F8FAFB"/>
            <w:tcMar>
              <w:top w:w="100" w:type="dxa"/>
              <w:left w:w="100" w:type="dxa"/>
              <w:bottom w:w="100" w:type="dxa"/>
              <w:right w:w="100" w:type="dxa"/>
            </w:tcMar>
            <w:vAlign w:val="center"/>
          </w:tcPr>
          <w:p w14:paraId="38FB1638">
            <w:pPr>
              <w:spacing w:after="0" w:line="240" w:lineRule="auto"/>
            </w:pPr>
            <w:r>
              <w:rPr>
                <w:rFonts w:ascii="Aptos" w:hAnsi="Aptos"/>
                <w:b w:val="0"/>
                <w:color w:val="27343D"/>
                <w:sz w:val="16"/>
              </w:rPr>
              <w:t>Active features, split strategy, labels and exact CV indices.</w:t>
            </w:r>
          </w:p>
        </w:tc>
        <w:tc>
          <w:tcPr>
            <w:tcW w:w="3888" w:type="dxa"/>
            <w:shd w:val="clear" w:color="auto" w:fill="F8FAFB"/>
            <w:tcMar>
              <w:top w:w="100" w:type="dxa"/>
              <w:left w:w="100" w:type="dxa"/>
              <w:bottom w:w="100" w:type="dxa"/>
              <w:right w:w="100" w:type="dxa"/>
            </w:tcMar>
            <w:vAlign w:val="center"/>
          </w:tcPr>
          <w:p w14:paraId="4108CCDF">
            <w:pPr>
              <w:spacing w:after="0" w:line="240" w:lineRule="auto"/>
            </w:pPr>
            <w:r>
              <w:rPr>
                <w:rFonts w:ascii="Aptos" w:hAnsi="Aptos"/>
                <w:b w:val="0"/>
                <w:color w:val="27343D"/>
                <w:sz w:val="16"/>
              </w:rPr>
              <w:t>Audit trail proving how the data were partitioned.</w:t>
            </w:r>
          </w:p>
        </w:tc>
      </w:tr>
      <w:tr w14:paraId="27A9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7EB9E704">
            <w:pPr>
              <w:spacing w:after="0" w:line="240" w:lineRule="auto"/>
            </w:pPr>
            <w:r>
              <w:rPr>
                <w:rFonts w:ascii="Aptos" w:hAnsi="Aptos"/>
                <w:b/>
                <w:color w:val="27343D"/>
                <w:sz w:val="16"/>
              </w:rPr>
              <w:t>label_mapping.csv</w:t>
            </w:r>
          </w:p>
        </w:tc>
        <w:tc>
          <w:tcPr>
            <w:tcW w:w="3816" w:type="dxa"/>
            <w:tcMar>
              <w:top w:w="100" w:type="dxa"/>
              <w:left w:w="100" w:type="dxa"/>
              <w:bottom w:w="100" w:type="dxa"/>
              <w:right w:w="100" w:type="dxa"/>
            </w:tcMar>
            <w:vAlign w:val="center"/>
          </w:tcPr>
          <w:p w14:paraId="3FFE4E15">
            <w:pPr>
              <w:spacing w:after="0" w:line="240" w:lineRule="auto"/>
            </w:pPr>
            <w:r>
              <w:rPr>
                <w:rFonts w:ascii="Aptos" w:hAnsi="Aptos"/>
                <w:b w:val="0"/>
                <w:color w:val="27343D"/>
                <w:sz w:val="16"/>
              </w:rPr>
              <w:t>Original labels and encoded integers.</w:t>
            </w:r>
          </w:p>
        </w:tc>
        <w:tc>
          <w:tcPr>
            <w:tcW w:w="3888" w:type="dxa"/>
            <w:tcMar>
              <w:top w:w="100" w:type="dxa"/>
              <w:left w:w="100" w:type="dxa"/>
              <w:bottom w:w="100" w:type="dxa"/>
              <w:right w:w="100" w:type="dxa"/>
            </w:tcMar>
            <w:vAlign w:val="center"/>
          </w:tcPr>
          <w:p w14:paraId="0B8F6B1D">
            <w:pPr>
              <w:spacing w:after="0" w:line="240" w:lineRule="auto"/>
            </w:pPr>
            <w:r>
              <w:rPr>
                <w:rFonts w:ascii="Aptos" w:hAnsi="Aptos"/>
                <w:b w:val="0"/>
                <w:color w:val="27343D"/>
                <w:sz w:val="16"/>
              </w:rPr>
              <w:t>Use when reading encoded model artifacts.</w:t>
            </w:r>
          </w:p>
        </w:tc>
      </w:tr>
      <w:tr w14:paraId="0EE4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3FCB93D5">
            <w:pPr>
              <w:spacing w:after="0" w:line="240" w:lineRule="auto"/>
            </w:pPr>
            <w:r>
              <w:rPr>
                <w:rFonts w:ascii="Aptos" w:hAnsi="Aptos"/>
                <w:b/>
                <w:color w:val="27343D"/>
                <w:sz w:val="16"/>
              </w:rPr>
              <w:t>train_test_distribution.png</w:t>
            </w:r>
          </w:p>
        </w:tc>
        <w:tc>
          <w:tcPr>
            <w:tcW w:w="3816" w:type="dxa"/>
            <w:shd w:val="clear" w:color="auto" w:fill="F8FAFB"/>
            <w:tcMar>
              <w:top w:w="100" w:type="dxa"/>
              <w:left w:w="100" w:type="dxa"/>
              <w:bottom w:w="100" w:type="dxa"/>
              <w:right w:w="100" w:type="dxa"/>
            </w:tcMar>
            <w:vAlign w:val="center"/>
          </w:tcPr>
          <w:p w14:paraId="1F2DF8E3">
            <w:pPr>
              <w:spacing w:after="0" w:line="240" w:lineRule="auto"/>
            </w:pPr>
            <w:r>
              <w:rPr>
                <w:rFonts w:ascii="Aptos" w:hAnsi="Aptos"/>
                <w:b w:val="0"/>
                <w:color w:val="27343D"/>
                <w:sz w:val="16"/>
              </w:rPr>
              <w:t>Class counts in train and test.</w:t>
            </w:r>
          </w:p>
        </w:tc>
        <w:tc>
          <w:tcPr>
            <w:tcW w:w="3888" w:type="dxa"/>
            <w:shd w:val="clear" w:color="auto" w:fill="F8FAFB"/>
            <w:tcMar>
              <w:top w:w="100" w:type="dxa"/>
              <w:left w:w="100" w:type="dxa"/>
              <w:bottom w:w="100" w:type="dxa"/>
              <w:right w:w="100" w:type="dxa"/>
            </w:tcMar>
            <w:vAlign w:val="center"/>
          </w:tcPr>
          <w:p w14:paraId="39BA6ECF">
            <w:pPr>
              <w:spacing w:after="0" w:line="240" w:lineRule="auto"/>
            </w:pPr>
            <w:r>
              <w:rPr>
                <w:rFonts w:ascii="Aptos" w:hAnsi="Aptos"/>
                <w:b w:val="0"/>
                <w:color w:val="27343D"/>
                <w:sz w:val="16"/>
              </w:rPr>
              <w:t>Train/test proportions should be sensible; missing classes are a serious problem.</w:t>
            </w:r>
          </w:p>
        </w:tc>
      </w:tr>
      <w:tr w14:paraId="48885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Mar>
              <w:top w:w="100" w:type="dxa"/>
              <w:left w:w="100" w:type="dxa"/>
              <w:bottom w:w="100" w:type="dxa"/>
              <w:right w:w="100" w:type="dxa"/>
            </w:tcMar>
            <w:vAlign w:val="center"/>
          </w:tcPr>
          <w:p w14:paraId="7482F284">
            <w:pPr>
              <w:spacing w:after="0" w:line="240" w:lineRule="auto"/>
            </w:pPr>
            <w:r>
              <w:rPr>
                <w:rFonts w:ascii="Aptos" w:hAnsi="Aptos"/>
                <w:b/>
                <w:color w:val="27343D"/>
                <w:sz w:val="16"/>
              </w:rPr>
              <w:t>feature_distributions_train_vs_test.png</w:t>
            </w:r>
          </w:p>
        </w:tc>
        <w:tc>
          <w:tcPr>
            <w:tcW w:w="3816" w:type="dxa"/>
            <w:tcMar>
              <w:top w:w="100" w:type="dxa"/>
              <w:left w:w="100" w:type="dxa"/>
              <w:bottom w:w="100" w:type="dxa"/>
              <w:right w:w="100" w:type="dxa"/>
            </w:tcMar>
            <w:vAlign w:val="center"/>
          </w:tcPr>
          <w:p w14:paraId="72DB0014">
            <w:pPr>
              <w:spacing w:after="0" w:line="240" w:lineRule="auto"/>
            </w:pPr>
            <w:r>
              <w:rPr>
                <w:rFonts w:ascii="Aptos" w:hAnsi="Aptos"/>
                <w:b w:val="0"/>
                <w:color w:val="27343D"/>
                <w:sz w:val="16"/>
              </w:rPr>
              <w:t>Feature distribution comparison.</w:t>
            </w:r>
          </w:p>
        </w:tc>
        <w:tc>
          <w:tcPr>
            <w:tcW w:w="3888" w:type="dxa"/>
            <w:tcMar>
              <w:top w:w="100" w:type="dxa"/>
              <w:left w:w="100" w:type="dxa"/>
              <w:bottom w:w="100" w:type="dxa"/>
              <w:right w:w="100" w:type="dxa"/>
            </w:tcMar>
            <w:vAlign w:val="center"/>
          </w:tcPr>
          <w:p w14:paraId="37CD40F7">
            <w:pPr>
              <w:spacing w:after="0" w:line="240" w:lineRule="auto"/>
            </w:pPr>
            <w:r>
              <w:rPr>
                <w:rFonts w:ascii="Aptos" w:hAnsi="Aptos"/>
                <w:b w:val="0"/>
                <w:color w:val="27343D"/>
                <w:sz w:val="16"/>
              </w:rPr>
              <w:t>Large shifts may mean the test set represents a different domain.</w:t>
            </w:r>
          </w:p>
        </w:tc>
      </w:tr>
      <w:tr w14:paraId="6D1D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F8FAFB"/>
            <w:tcMar>
              <w:top w:w="100" w:type="dxa"/>
              <w:left w:w="100" w:type="dxa"/>
              <w:bottom w:w="100" w:type="dxa"/>
              <w:right w:w="100" w:type="dxa"/>
            </w:tcMar>
            <w:vAlign w:val="center"/>
          </w:tcPr>
          <w:p w14:paraId="43C3BC77">
            <w:pPr>
              <w:spacing w:after="0" w:line="240" w:lineRule="auto"/>
            </w:pPr>
            <w:r>
              <w:rPr>
                <w:rFonts w:ascii="Aptos" w:hAnsi="Aptos"/>
                <w:b/>
                <w:color w:val="27343D"/>
                <w:sz w:val="16"/>
              </w:rPr>
              <w:t>spatial_train_test_split.png</w:t>
            </w:r>
          </w:p>
        </w:tc>
        <w:tc>
          <w:tcPr>
            <w:tcW w:w="3816" w:type="dxa"/>
            <w:shd w:val="clear" w:color="auto" w:fill="F8FAFB"/>
            <w:tcMar>
              <w:top w:w="100" w:type="dxa"/>
              <w:left w:w="100" w:type="dxa"/>
              <w:bottom w:w="100" w:type="dxa"/>
              <w:right w:w="100" w:type="dxa"/>
            </w:tcMar>
            <w:vAlign w:val="center"/>
          </w:tcPr>
          <w:p w14:paraId="3DEFBA95">
            <w:pPr>
              <w:spacing w:after="0" w:line="240" w:lineRule="auto"/>
            </w:pPr>
            <w:r>
              <w:rPr>
                <w:rFonts w:ascii="Aptos" w:hAnsi="Aptos"/>
                <w:b w:val="0"/>
                <w:color w:val="27343D"/>
                <w:sz w:val="16"/>
              </w:rPr>
              <w:t>Map of spatial partition (when possible).</w:t>
            </w:r>
          </w:p>
        </w:tc>
        <w:tc>
          <w:tcPr>
            <w:tcW w:w="3888" w:type="dxa"/>
            <w:shd w:val="clear" w:color="auto" w:fill="F8FAFB"/>
            <w:tcMar>
              <w:top w:w="100" w:type="dxa"/>
              <w:left w:w="100" w:type="dxa"/>
              <w:bottom w:w="100" w:type="dxa"/>
              <w:right w:w="100" w:type="dxa"/>
            </w:tcMar>
            <w:vAlign w:val="center"/>
          </w:tcPr>
          <w:p w14:paraId="3098B920">
            <w:pPr>
              <w:spacing w:after="0" w:line="240" w:lineRule="auto"/>
            </w:pPr>
            <w:r>
              <w:rPr>
                <w:rFonts w:ascii="Aptos" w:hAnsi="Aptos"/>
                <w:b w:val="0"/>
                <w:color w:val="27343D"/>
                <w:sz w:val="16"/>
              </w:rPr>
              <w:t>Verify geographic separation and coverage.</w:t>
            </w:r>
          </w:p>
        </w:tc>
      </w:tr>
    </w:tbl>
    <w:p w14:paraId="5CA3DBF2">
      <w:pPr>
        <w:spacing w:after="0"/>
      </w:pPr>
    </w:p>
    <w:p w14:paraId="68C54B6F">
      <w:r>
        <w:br w:type="page"/>
      </w:r>
    </w:p>
    <w:p w14:paraId="34C5BE23">
      <w:pPr>
        <w:pStyle w:val="2"/>
        <w:keepNext/>
      </w:pPr>
      <w:r>
        <w:t>7. Step 3 — TRAIN: tune candidate models and produce OOF predictions</w:t>
      </w:r>
    </w:p>
    <w:p w14:paraId="7BAB4006">
      <w:pPr>
        <w:pStyle w:val="13"/>
      </w:pPr>
      <w:r>
        <w:rPr>
          <w:rFonts w:ascii="Aptos" w:hAnsi="Aptos"/>
        </w:rPr>
        <w:t>Step 3 gives each candidate model family a fair “audition.” It searches multiple hyperparameter combinations, evaluates them across the frozen CV folds, keeps the best version of each model, and writes the evidence used to rank models later.</w:t>
      </w:r>
    </w:p>
    <w:p w14:paraId="75FF4603">
      <w:pPr>
        <w:jc w:val="center"/>
      </w:pPr>
      <w:r>
        <w:drawing>
          <wp:inline distT="0" distB="0" distL="114300" distR="114300">
            <wp:extent cx="6400800" cy="3316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400800" cy="3317059"/>
                    </a:xfrm>
                    <a:prstGeom prst="rect">
                      <a:avLst/>
                    </a:prstGeom>
                  </pic:spPr>
                </pic:pic>
              </a:graphicData>
            </a:graphic>
          </wp:inline>
        </w:drawing>
      </w:r>
    </w:p>
    <w:p w14:paraId="4447C022">
      <w:pPr>
        <w:spacing w:after="160"/>
        <w:jc w:val="center"/>
      </w:pPr>
      <w:r>
        <w:rPr>
          <w:rFonts w:ascii="Aptos" w:hAnsi="Aptos"/>
          <w:i/>
          <w:color w:val="6B7780"/>
          <w:sz w:val="17"/>
        </w:rPr>
        <w:t>Figure 4. Hyperparameter search and cross-validation for each candidate model family.</w:t>
      </w:r>
    </w:p>
    <w:p w14:paraId="7F94C7B9">
      <w:pPr>
        <w:pStyle w:val="3"/>
        <w:keepNext/>
      </w:pPr>
      <w:r>
        <w:t>7.1 Candidate model families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12D0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17324D"/>
            <w:tcMar>
              <w:top w:w="100" w:type="dxa"/>
              <w:left w:w="100" w:type="dxa"/>
              <w:bottom w:w="100" w:type="dxa"/>
              <w:right w:w="100" w:type="dxa"/>
            </w:tcMar>
            <w:vAlign w:val="center"/>
          </w:tcPr>
          <w:p w14:paraId="6F010DFB">
            <w:pPr>
              <w:spacing w:after="0" w:line="240" w:lineRule="auto"/>
              <w:jc w:val="center"/>
            </w:pPr>
            <w:r>
              <w:rPr>
                <w:rFonts w:ascii="Aptos" w:hAnsi="Aptos"/>
                <w:b/>
                <w:color w:val="FFFFFF"/>
                <w:sz w:val="17"/>
              </w:rPr>
              <w:t>Model family</w:t>
            </w:r>
          </w:p>
        </w:tc>
        <w:tc>
          <w:tcPr>
            <w:tcW w:w="6768" w:type="dxa"/>
            <w:shd w:val="clear" w:color="auto" w:fill="17324D"/>
            <w:tcMar>
              <w:top w:w="100" w:type="dxa"/>
              <w:left w:w="100" w:type="dxa"/>
              <w:bottom w:w="100" w:type="dxa"/>
              <w:right w:w="100" w:type="dxa"/>
            </w:tcMar>
            <w:vAlign w:val="center"/>
          </w:tcPr>
          <w:p w14:paraId="51EEEF4F">
            <w:pPr>
              <w:spacing w:after="0" w:line="240" w:lineRule="auto"/>
              <w:jc w:val="center"/>
            </w:pPr>
            <w:r>
              <w:rPr>
                <w:rFonts w:ascii="Aptos" w:hAnsi="Aptos"/>
                <w:b/>
                <w:color w:val="FFFFFF"/>
                <w:sz w:val="17"/>
              </w:rPr>
              <w:t>Plain-language view</w:t>
            </w:r>
          </w:p>
        </w:tc>
      </w:tr>
      <w:tr w14:paraId="15F9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2C329DBD">
            <w:pPr>
              <w:spacing w:after="0" w:line="240" w:lineRule="auto"/>
            </w:pPr>
            <w:r>
              <w:rPr>
                <w:rFonts w:ascii="Aptos" w:hAnsi="Aptos"/>
                <w:b/>
                <w:color w:val="27343D"/>
                <w:sz w:val="17"/>
              </w:rPr>
              <w:t>Logistic Regression / SGD</w:t>
            </w:r>
          </w:p>
        </w:tc>
        <w:tc>
          <w:tcPr>
            <w:tcW w:w="6768" w:type="dxa"/>
            <w:tcMar>
              <w:top w:w="100" w:type="dxa"/>
              <w:left w:w="100" w:type="dxa"/>
              <w:bottom w:w="100" w:type="dxa"/>
              <w:right w:w="100" w:type="dxa"/>
            </w:tcMar>
            <w:vAlign w:val="center"/>
          </w:tcPr>
          <w:p w14:paraId="4523FBC5">
            <w:pPr>
              <w:spacing w:after="0" w:line="240" w:lineRule="auto"/>
            </w:pPr>
            <w:r>
              <w:rPr>
                <w:rFonts w:ascii="Aptos" w:hAnsi="Aptos"/>
                <w:b w:val="0"/>
                <w:color w:val="27343D"/>
                <w:sz w:val="17"/>
              </w:rPr>
              <w:t>Linear decision boundaries; useful baselines and often robust with many features.</w:t>
            </w:r>
          </w:p>
        </w:tc>
      </w:tr>
      <w:tr w14:paraId="33F5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0AE984D8">
            <w:pPr>
              <w:spacing w:after="0" w:line="240" w:lineRule="auto"/>
            </w:pPr>
            <w:r>
              <w:rPr>
                <w:rFonts w:ascii="Aptos" w:hAnsi="Aptos"/>
                <w:b/>
                <w:color w:val="27343D"/>
                <w:sz w:val="17"/>
              </w:rPr>
              <w:t>Decision Tree</w:t>
            </w:r>
          </w:p>
        </w:tc>
        <w:tc>
          <w:tcPr>
            <w:tcW w:w="6768" w:type="dxa"/>
            <w:shd w:val="clear" w:color="auto" w:fill="F8FAFB"/>
            <w:tcMar>
              <w:top w:w="100" w:type="dxa"/>
              <w:left w:w="100" w:type="dxa"/>
              <w:bottom w:w="100" w:type="dxa"/>
              <w:right w:w="100" w:type="dxa"/>
            </w:tcMar>
            <w:vAlign w:val="center"/>
          </w:tcPr>
          <w:p w14:paraId="6A69570E">
            <w:pPr>
              <w:spacing w:after="0" w:line="240" w:lineRule="auto"/>
            </w:pPr>
            <w:r>
              <w:rPr>
                <w:rFonts w:ascii="Aptos" w:hAnsi="Aptos"/>
                <w:b w:val="0"/>
                <w:color w:val="27343D"/>
                <w:sz w:val="17"/>
              </w:rPr>
              <w:t>A sequence of if/then splits; easy conceptually but can overfit.</w:t>
            </w:r>
          </w:p>
        </w:tc>
      </w:tr>
      <w:tr w14:paraId="5445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39D65D11">
            <w:pPr>
              <w:spacing w:after="0" w:line="240" w:lineRule="auto"/>
            </w:pPr>
            <w:r>
              <w:rPr>
                <w:rFonts w:ascii="Aptos" w:hAnsi="Aptos"/>
                <w:b/>
                <w:color w:val="27343D"/>
                <w:sz w:val="17"/>
              </w:rPr>
              <w:t>Random Forest / Extra Trees / Bagging</w:t>
            </w:r>
          </w:p>
        </w:tc>
        <w:tc>
          <w:tcPr>
            <w:tcW w:w="6768" w:type="dxa"/>
            <w:tcMar>
              <w:top w:w="100" w:type="dxa"/>
              <w:left w:w="100" w:type="dxa"/>
              <w:bottom w:w="100" w:type="dxa"/>
              <w:right w:w="100" w:type="dxa"/>
            </w:tcMar>
            <w:vAlign w:val="center"/>
          </w:tcPr>
          <w:p w14:paraId="46AF061D">
            <w:pPr>
              <w:spacing w:after="0" w:line="240" w:lineRule="auto"/>
            </w:pPr>
            <w:r>
              <w:rPr>
                <w:rFonts w:ascii="Aptos" w:hAnsi="Aptos"/>
                <w:b w:val="0"/>
                <w:color w:val="27343D"/>
                <w:sz w:val="17"/>
              </w:rPr>
              <w:t>Many trees vote together; robust nonlinear baselines.</w:t>
            </w:r>
          </w:p>
        </w:tc>
      </w:tr>
      <w:tr w14:paraId="6296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537CE250">
            <w:pPr>
              <w:spacing w:after="0" w:line="240" w:lineRule="auto"/>
            </w:pPr>
            <w:r>
              <w:rPr>
                <w:rFonts w:ascii="Aptos" w:hAnsi="Aptos"/>
                <w:b/>
                <w:color w:val="27343D"/>
                <w:sz w:val="17"/>
              </w:rPr>
              <w:t>Gradient Boosting / HistGradientBoosting</w:t>
            </w:r>
          </w:p>
        </w:tc>
        <w:tc>
          <w:tcPr>
            <w:tcW w:w="6768" w:type="dxa"/>
            <w:shd w:val="clear" w:color="auto" w:fill="F8FAFB"/>
            <w:tcMar>
              <w:top w:w="100" w:type="dxa"/>
              <w:left w:w="100" w:type="dxa"/>
              <w:bottom w:w="100" w:type="dxa"/>
              <w:right w:w="100" w:type="dxa"/>
            </w:tcMar>
            <w:vAlign w:val="center"/>
          </w:tcPr>
          <w:p w14:paraId="5893980D">
            <w:pPr>
              <w:spacing w:after="0" w:line="240" w:lineRule="auto"/>
            </w:pPr>
            <w:r>
              <w:rPr>
                <w:rFonts w:ascii="Aptos" w:hAnsi="Aptos"/>
                <w:b w:val="0"/>
                <w:color w:val="27343D"/>
                <w:sz w:val="17"/>
              </w:rPr>
              <w:t>Trees are added sequentially to correct previous errors.</w:t>
            </w:r>
          </w:p>
        </w:tc>
      </w:tr>
      <w:tr w14:paraId="7FD8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58587C68">
            <w:pPr>
              <w:spacing w:after="0" w:line="240" w:lineRule="auto"/>
            </w:pPr>
            <w:r>
              <w:rPr>
                <w:rFonts w:ascii="Aptos" w:hAnsi="Aptos"/>
                <w:b/>
                <w:color w:val="27343D"/>
                <w:sz w:val="17"/>
              </w:rPr>
              <w:t>XGBoost / LightGBM</w:t>
            </w:r>
          </w:p>
        </w:tc>
        <w:tc>
          <w:tcPr>
            <w:tcW w:w="6768" w:type="dxa"/>
            <w:tcMar>
              <w:top w:w="100" w:type="dxa"/>
              <w:left w:w="100" w:type="dxa"/>
              <w:bottom w:w="100" w:type="dxa"/>
              <w:right w:w="100" w:type="dxa"/>
            </w:tcMar>
            <w:vAlign w:val="center"/>
          </w:tcPr>
          <w:p w14:paraId="3DEBD680">
            <w:pPr>
              <w:spacing w:after="0" w:line="240" w:lineRule="auto"/>
            </w:pPr>
            <w:r>
              <w:rPr>
                <w:rFonts w:ascii="Aptos" w:hAnsi="Aptos"/>
                <w:b w:val="0"/>
                <w:color w:val="27343D"/>
                <w:sz w:val="17"/>
              </w:rPr>
              <w:t>High-performance gradient boosting, available when optional libraries are installed.</w:t>
            </w:r>
          </w:p>
        </w:tc>
      </w:tr>
      <w:tr w14:paraId="7BD5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47ADA16A">
            <w:pPr>
              <w:spacing w:after="0" w:line="240" w:lineRule="auto"/>
            </w:pPr>
            <w:r>
              <w:rPr>
                <w:rFonts w:ascii="Aptos" w:hAnsi="Aptos"/>
                <w:b/>
                <w:color w:val="27343D"/>
                <w:sz w:val="17"/>
              </w:rPr>
              <w:t>KNN</w:t>
            </w:r>
          </w:p>
        </w:tc>
        <w:tc>
          <w:tcPr>
            <w:tcW w:w="6768" w:type="dxa"/>
            <w:shd w:val="clear" w:color="auto" w:fill="F8FAFB"/>
            <w:tcMar>
              <w:top w:w="100" w:type="dxa"/>
              <w:left w:w="100" w:type="dxa"/>
              <w:bottom w:w="100" w:type="dxa"/>
              <w:right w:w="100" w:type="dxa"/>
            </w:tcMar>
            <w:vAlign w:val="center"/>
          </w:tcPr>
          <w:p w14:paraId="0E0F571B">
            <w:pPr>
              <w:spacing w:after="0" w:line="240" w:lineRule="auto"/>
            </w:pPr>
            <w:r>
              <w:rPr>
                <w:rFonts w:ascii="Aptos" w:hAnsi="Aptos"/>
                <w:b w:val="0"/>
                <w:color w:val="27343D"/>
                <w:sz w:val="17"/>
              </w:rPr>
              <w:t>Looks at similar training parcels in feature space.</w:t>
            </w:r>
          </w:p>
        </w:tc>
      </w:tr>
      <w:tr w14:paraId="7D568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3EEF0AFB">
            <w:pPr>
              <w:spacing w:after="0" w:line="240" w:lineRule="auto"/>
            </w:pPr>
            <w:r>
              <w:rPr>
                <w:rFonts w:ascii="Aptos" w:hAnsi="Aptos"/>
                <w:b/>
                <w:color w:val="27343D"/>
                <w:sz w:val="17"/>
              </w:rPr>
              <w:t>MLP / TensorFlow dense network</w:t>
            </w:r>
          </w:p>
        </w:tc>
        <w:tc>
          <w:tcPr>
            <w:tcW w:w="6768" w:type="dxa"/>
            <w:tcMar>
              <w:top w:w="100" w:type="dxa"/>
              <w:left w:w="100" w:type="dxa"/>
              <w:bottom w:w="100" w:type="dxa"/>
              <w:right w:w="100" w:type="dxa"/>
            </w:tcMar>
            <w:vAlign w:val="center"/>
          </w:tcPr>
          <w:p w14:paraId="02ACF32C">
            <w:pPr>
              <w:spacing w:after="0" w:line="240" w:lineRule="auto"/>
            </w:pPr>
            <w:r>
              <w:rPr>
                <w:rFonts w:ascii="Aptos" w:hAnsi="Aptos"/>
                <w:b w:val="0"/>
                <w:color w:val="27343D"/>
                <w:sz w:val="17"/>
              </w:rPr>
              <w:t>Learns nonlinear combinations of features through neural-network layers.</w:t>
            </w:r>
          </w:p>
        </w:tc>
      </w:tr>
      <w:tr w14:paraId="20D6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B"/>
            <w:tcMar>
              <w:top w:w="100" w:type="dxa"/>
              <w:left w:w="100" w:type="dxa"/>
              <w:bottom w:w="100" w:type="dxa"/>
              <w:right w:w="100" w:type="dxa"/>
            </w:tcMar>
            <w:vAlign w:val="center"/>
          </w:tcPr>
          <w:p w14:paraId="407BEADE">
            <w:pPr>
              <w:spacing w:after="0" w:line="240" w:lineRule="auto"/>
            </w:pPr>
            <w:r>
              <w:rPr>
                <w:rFonts w:ascii="Aptos" w:hAnsi="Aptos"/>
                <w:b/>
                <w:color w:val="27343D"/>
                <w:sz w:val="17"/>
              </w:rPr>
              <w:t>Keras LSTM</w:t>
            </w:r>
          </w:p>
        </w:tc>
        <w:tc>
          <w:tcPr>
            <w:tcW w:w="6768" w:type="dxa"/>
            <w:shd w:val="clear" w:color="auto" w:fill="F8FAFB"/>
            <w:tcMar>
              <w:top w:w="100" w:type="dxa"/>
              <w:left w:w="100" w:type="dxa"/>
              <w:bottom w:w="100" w:type="dxa"/>
              <w:right w:w="100" w:type="dxa"/>
            </w:tcMar>
            <w:vAlign w:val="center"/>
          </w:tcPr>
          <w:p w14:paraId="5551AB3E">
            <w:pPr>
              <w:spacing w:after="0" w:line="240" w:lineRule="auto"/>
            </w:pPr>
            <w:r>
              <w:rPr>
                <w:rFonts w:ascii="Aptos" w:hAnsi="Aptos"/>
                <w:b w:val="0"/>
                <w:color w:val="27343D"/>
                <w:sz w:val="17"/>
              </w:rPr>
              <w:t>Neural network specialized for ordered temporal sequences.</w:t>
            </w:r>
          </w:p>
        </w:tc>
      </w:tr>
      <w:tr w14:paraId="0448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100" w:type="dxa"/>
              <w:left w:w="100" w:type="dxa"/>
              <w:bottom w:w="100" w:type="dxa"/>
              <w:right w:w="100" w:type="dxa"/>
            </w:tcMar>
            <w:vAlign w:val="center"/>
          </w:tcPr>
          <w:p w14:paraId="26B4AF6E">
            <w:pPr>
              <w:spacing w:after="0" w:line="240" w:lineRule="auto"/>
            </w:pPr>
            <w:r>
              <w:rPr>
                <w:rFonts w:ascii="Aptos" w:hAnsi="Aptos"/>
                <w:b/>
                <w:color w:val="27343D"/>
                <w:sz w:val="17"/>
              </w:rPr>
              <w:t>Gaussian Naive Bayes</w:t>
            </w:r>
          </w:p>
        </w:tc>
        <w:tc>
          <w:tcPr>
            <w:tcW w:w="6768" w:type="dxa"/>
            <w:tcMar>
              <w:top w:w="100" w:type="dxa"/>
              <w:left w:w="100" w:type="dxa"/>
              <w:bottom w:w="100" w:type="dxa"/>
              <w:right w:w="100" w:type="dxa"/>
            </w:tcMar>
            <w:vAlign w:val="center"/>
          </w:tcPr>
          <w:p w14:paraId="341E5EBA">
            <w:pPr>
              <w:spacing w:after="0" w:line="240" w:lineRule="auto"/>
            </w:pPr>
            <w:r>
              <w:rPr>
                <w:rFonts w:ascii="Aptos" w:hAnsi="Aptos"/>
                <w:b w:val="0"/>
                <w:color w:val="27343D"/>
                <w:sz w:val="17"/>
              </w:rPr>
              <w:t>Simple probabilistic baseline with strong independence assumptions.</w:t>
            </w:r>
          </w:p>
        </w:tc>
      </w:tr>
    </w:tbl>
    <w:p w14:paraId="6C28359C">
      <w:pPr>
        <w:spacing w:after="0"/>
      </w:pPr>
    </w:p>
    <w:p w14:paraId="69572D98">
      <w:pPr>
        <w:pStyle w:val="3"/>
        <w:keepNext/>
      </w:pPr>
      <w:r>
        <w:t>7.2 Preprocessing is part of each model pipeline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08E1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17324D"/>
            <w:tcMar>
              <w:top w:w="100" w:type="dxa"/>
              <w:left w:w="100" w:type="dxa"/>
              <w:bottom w:w="100" w:type="dxa"/>
              <w:right w:w="100" w:type="dxa"/>
            </w:tcMar>
            <w:vAlign w:val="center"/>
          </w:tcPr>
          <w:p w14:paraId="0405377A">
            <w:pPr>
              <w:spacing w:after="0" w:line="240" w:lineRule="auto"/>
              <w:jc w:val="center"/>
            </w:pPr>
            <w:r>
              <w:rPr>
                <w:rFonts w:ascii="Aptos" w:hAnsi="Aptos"/>
                <w:b/>
                <w:color w:val="FFFFFF"/>
                <w:sz w:val="17"/>
              </w:rPr>
              <w:t>Data type / model need</w:t>
            </w:r>
          </w:p>
        </w:tc>
        <w:tc>
          <w:tcPr>
            <w:tcW w:w="7056" w:type="dxa"/>
            <w:shd w:val="clear" w:color="auto" w:fill="17324D"/>
            <w:tcMar>
              <w:top w:w="100" w:type="dxa"/>
              <w:left w:w="100" w:type="dxa"/>
              <w:bottom w:w="100" w:type="dxa"/>
              <w:right w:w="100" w:type="dxa"/>
            </w:tcMar>
            <w:vAlign w:val="center"/>
          </w:tcPr>
          <w:p w14:paraId="5B6C4C12">
            <w:pPr>
              <w:spacing w:after="0" w:line="240" w:lineRule="auto"/>
              <w:jc w:val="center"/>
            </w:pPr>
            <w:r>
              <w:rPr>
                <w:rFonts w:ascii="Aptos" w:hAnsi="Aptos"/>
                <w:b/>
                <w:color w:val="FFFFFF"/>
                <w:sz w:val="17"/>
              </w:rPr>
              <w:t>Implemented preprocessing</w:t>
            </w:r>
          </w:p>
        </w:tc>
      </w:tr>
      <w:tr w14:paraId="57AA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00" w:type="dxa"/>
              <w:bottom w:w="100" w:type="dxa"/>
              <w:right w:w="100" w:type="dxa"/>
            </w:tcMar>
            <w:vAlign w:val="center"/>
          </w:tcPr>
          <w:p w14:paraId="13BFA0F2">
            <w:pPr>
              <w:spacing w:after="0" w:line="240" w:lineRule="auto"/>
            </w:pPr>
            <w:r>
              <w:rPr>
                <w:rFonts w:ascii="Aptos" w:hAnsi="Aptos"/>
                <w:b/>
                <w:color w:val="27343D"/>
                <w:sz w:val="17"/>
              </w:rPr>
              <w:t>Numeric features</w:t>
            </w:r>
          </w:p>
        </w:tc>
        <w:tc>
          <w:tcPr>
            <w:tcW w:w="7056" w:type="dxa"/>
            <w:tcMar>
              <w:top w:w="100" w:type="dxa"/>
              <w:left w:w="100" w:type="dxa"/>
              <w:bottom w:w="100" w:type="dxa"/>
              <w:right w:w="100" w:type="dxa"/>
            </w:tcMar>
            <w:vAlign w:val="center"/>
          </w:tcPr>
          <w:p w14:paraId="4CE893BA">
            <w:pPr>
              <w:spacing w:after="0" w:line="240" w:lineRule="auto"/>
            </w:pPr>
            <w:r>
              <w:rPr>
                <w:rFonts w:ascii="Aptos" w:hAnsi="Aptos"/>
                <w:b w:val="0"/>
                <w:color w:val="27343D"/>
                <w:sz w:val="17"/>
              </w:rPr>
              <w:t>Median imputation. Linear/KNN/neural pipelines also scale numeric values; tree models generally do not.</w:t>
            </w:r>
          </w:p>
        </w:tc>
      </w:tr>
      <w:tr w14:paraId="553C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B"/>
            <w:tcMar>
              <w:top w:w="100" w:type="dxa"/>
              <w:left w:w="100" w:type="dxa"/>
              <w:bottom w:w="100" w:type="dxa"/>
              <w:right w:w="100" w:type="dxa"/>
            </w:tcMar>
            <w:vAlign w:val="center"/>
          </w:tcPr>
          <w:p w14:paraId="3D91326F">
            <w:pPr>
              <w:spacing w:after="0" w:line="240" w:lineRule="auto"/>
            </w:pPr>
            <w:r>
              <w:rPr>
                <w:rFonts w:ascii="Aptos" w:hAnsi="Aptos"/>
                <w:b/>
                <w:color w:val="27343D"/>
                <w:sz w:val="17"/>
              </w:rPr>
              <w:t>Categorical features</w:t>
            </w:r>
          </w:p>
        </w:tc>
        <w:tc>
          <w:tcPr>
            <w:tcW w:w="7056" w:type="dxa"/>
            <w:shd w:val="clear" w:color="auto" w:fill="F8FAFB"/>
            <w:tcMar>
              <w:top w:w="100" w:type="dxa"/>
              <w:left w:w="100" w:type="dxa"/>
              <w:bottom w:w="100" w:type="dxa"/>
              <w:right w:w="100" w:type="dxa"/>
            </w:tcMar>
            <w:vAlign w:val="center"/>
          </w:tcPr>
          <w:p w14:paraId="3A0E8FEF">
            <w:pPr>
              <w:spacing w:after="0" w:line="240" w:lineRule="auto"/>
            </w:pPr>
            <w:r>
              <w:rPr>
                <w:rFonts w:ascii="Aptos" w:hAnsi="Aptos"/>
                <w:b w:val="0"/>
                <w:color w:val="27343D"/>
                <w:sz w:val="17"/>
              </w:rPr>
              <w:t>Most-frequent imputation plus one-hot encoding; infrequent categories are handled explicitly.</w:t>
            </w:r>
          </w:p>
        </w:tc>
      </w:tr>
      <w:tr w14:paraId="10D4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Mar>
              <w:top w:w="100" w:type="dxa"/>
              <w:left w:w="100" w:type="dxa"/>
              <w:bottom w:w="100" w:type="dxa"/>
              <w:right w:w="100" w:type="dxa"/>
            </w:tcMar>
            <w:vAlign w:val="center"/>
          </w:tcPr>
          <w:p w14:paraId="3BA4B3DD">
            <w:pPr>
              <w:spacing w:after="0" w:line="240" w:lineRule="auto"/>
            </w:pPr>
            <w:r>
              <w:rPr>
                <w:rFonts w:ascii="Aptos" w:hAnsi="Aptos"/>
                <w:b/>
                <w:color w:val="27343D"/>
                <w:sz w:val="17"/>
              </w:rPr>
              <w:t>Class imbalance</w:t>
            </w:r>
          </w:p>
        </w:tc>
        <w:tc>
          <w:tcPr>
            <w:tcW w:w="7056" w:type="dxa"/>
            <w:tcMar>
              <w:top w:w="100" w:type="dxa"/>
              <w:left w:w="100" w:type="dxa"/>
              <w:bottom w:w="100" w:type="dxa"/>
              <w:right w:w="100" w:type="dxa"/>
            </w:tcMar>
            <w:vAlign w:val="center"/>
          </w:tcPr>
          <w:p w14:paraId="06B9D9D8">
            <w:pPr>
              <w:spacing w:after="0" w:line="240" w:lineRule="auto"/>
            </w:pPr>
            <w:r>
              <w:rPr>
                <w:rFonts w:ascii="Aptos" w:hAnsi="Aptos"/>
                <w:b w:val="0"/>
                <w:color w:val="27343D"/>
                <w:sz w:val="17"/>
              </w:rPr>
              <w:t>Optional random oversampling or SMOTE inside the modeling pipeline. Many estimators also use balanced class weights.</w:t>
            </w:r>
          </w:p>
        </w:tc>
      </w:tr>
      <w:tr w14:paraId="1B53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B"/>
            <w:tcMar>
              <w:top w:w="100" w:type="dxa"/>
              <w:left w:w="100" w:type="dxa"/>
              <w:bottom w:w="100" w:type="dxa"/>
              <w:right w:w="100" w:type="dxa"/>
            </w:tcMar>
            <w:vAlign w:val="center"/>
          </w:tcPr>
          <w:p w14:paraId="6F834F5F">
            <w:pPr>
              <w:spacing w:after="0" w:line="240" w:lineRule="auto"/>
            </w:pPr>
            <w:r>
              <w:rPr>
                <w:rFonts w:ascii="Aptos" w:hAnsi="Aptos"/>
                <w:b/>
                <w:color w:val="27343D"/>
                <w:sz w:val="17"/>
              </w:rPr>
              <w:t>LSTM</w:t>
            </w:r>
          </w:p>
        </w:tc>
        <w:tc>
          <w:tcPr>
            <w:tcW w:w="7056" w:type="dxa"/>
            <w:shd w:val="clear" w:color="auto" w:fill="F8FAFB"/>
            <w:tcMar>
              <w:top w:w="100" w:type="dxa"/>
              <w:left w:w="100" w:type="dxa"/>
              <w:bottom w:w="100" w:type="dxa"/>
              <w:right w:w="100" w:type="dxa"/>
            </w:tcMar>
            <w:vAlign w:val="center"/>
          </w:tcPr>
          <w:p w14:paraId="3742DAE7">
            <w:pPr>
              <w:spacing w:after="0" w:line="240" w:lineRule="auto"/>
            </w:pPr>
            <w:r>
              <w:rPr>
                <w:rFonts w:ascii="Aptos" w:hAnsi="Aptos"/>
                <w:b w:val="0"/>
                <w:color w:val="27343D"/>
                <w:sz w:val="17"/>
              </w:rPr>
              <w:t>Temporal feature columns are parsed into an ordered tensor; the winning temporal schema is saved.</w:t>
            </w:r>
          </w:p>
        </w:tc>
      </w:tr>
    </w:tbl>
    <w:p w14:paraId="4698F845">
      <w:pPr>
        <w:spacing w:after="0"/>
      </w:pPr>
    </w:p>
    <w:p w14:paraId="6DBA7117">
      <w:pPr>
        <w:pStyle w:val="3"/>
        <w:keepNext/>
      </w:pPr>
      <w:r>
        <w:t>7.3 Hyperparameter search</w:t>
      </w:r>
    </w:p>
    <w:p w14:paraId="01C9C5DC">
      <w:pPr>
        <w:pStyle w:val="13"/>
      </w:pPr>
      <w:r>
        <w:rPr>
          <w:rFonts w:ascii="Aptos" w:hAnsi="Aptos"/>
        </w:rPr>
        <w:t>HalvingRandomSearchCV starts with several parameter combinations and progressively concentrates resources on more promising configurations. The primary scoring metric is configurable; the default is macro-F1, which gives each class equal importance rather than allowing large classes to dominate the score.</w:t>
      </w:r>
    </w:p>
    <w:p w14:paraId="56AA372C">
      <w:pPr>
        <w:pStyle w:val="3"/>
        <w:keepNext/>
      </w:pPr>
      <w:r>
        <w:t>7.4 Model ranking: performance plus stability</w:t>
      </w:r>
    </w:p>
    <w:p w14:paraId="3BEAB2C9">
      <w:pPr>
        <w:pStyle w:val="13"/>
      </w:pPr>
      <w:r>
        <w:rPr>
          <w:rFonts w:ascii="Aptos" w:hAnsi="Aptos"/>
        </w:rPr>
        <w:t>By default, models are ranked using:</w:t>
      </w:r>
    </w:p>
    <w:p w14:paraId="4EBDAAAA">
      <w:pPr>
        <w:jc w:val="center"/>
      </w:pPr>
      <w:r>
        <w:rPr>
          <w:rFonts w:ascii="Aptos" w:hAnsi="Aptos"/>
          <w:b/>
          <w:color w:val="17324D"/>
          <w:sz w:val="22"/>
        </w:rPr>
        <w:t>CV selection score = mean CV score − CV score standard deviation</w:t>
      </w:r>
    </w:p>
    <w:p w14:paraId="48531F16">
      <w:pPr>
        <w:pStyle w:val="13"/>
      </w:pPr>
      <w:r>
        <w:rPr>
          <w:rFonts w:ascii="Aptos" w:hAnsi="Aptos"/>
        </w:rPr>
        <w:t>This favors models that are both accurate and stable across folds. A model with a slightly higher mean but highly variable folds can rank below a more consistent model. The alternative ranking method uses mean score only.</w:t>
      </w:r>
    </w:p>
    <w:p w14:paraId="4B484BD2">
      <w:pPr>
        <w:pStyle w:val="3"/>
        <w:keepNext/>
      </w:pPr>
      <w:r>
        <w:t>7.5 OOF probabilities</w:t>
      </w:r>
    </w:p>
    <w:p w14:paraId="7AEC0D20">
      <w:pPr>
        <w:pStyle w:val="13"/>
      </w:pPr>
      <w:r>
        <w:t>For probability-capable models, OOF probabilities are generated when probability optimization or rank confidence is enabled. Each training parcel is predicted only by a fold model that did not train on that parcel. These probabilities are therefore appropriate for later estimating class reliability without using in-sample predictions.</w:t>
      </w:r>
    </w:p>
    <w:p w14:paraId="333835AE">
      <w:pPr>
        <w:pStyle w:val="4"/>
      </w:pPr>
      <w:r>
        <w:t>7.5.1 How Step 3 contributes to confidence</w:t>
      </w:r>
    </w:p>
    <w:p w14:paraId="634B264F">
      <w:pPr>
        <w:pStyle w:val="13"/>
      </w:pPr>
      <w:r>
        <w:t>Step 3 does not assign the final HIGH / MEDIUM / LOW confidence level. Its role is to create leakage-safe member-model OOF probabilities. In Step 4, those OOF probabilities are combined with the same soft-voting strategy used in production. The pipeline then asks, for each predicted class, “When OOF soft voting predicted this class, how often was it actually correct?” That answer becomes the class-reliability guard.</w:t>
      </w:r>
    </w:p>
    <w:p w14:paraId="09C2ABED">
      <w:pPr>
        <w:pStyle w:val="13"/>
      </w:pPr>
      <w:r>
        <w:t>Example: if OOF soft voting predicts class 119 for 1,000 training parcels and 870 of those parcels truly belong to class 119, the OOF precision of class 119 is 870 / 1,000 = 0.87 (87%). With the default thresholds and sufficient support, class 119 receives HIGH class reliability.</w:t>
      </w:r>
    </w:p>
    <w:p w14:paraId="5635A3A4">
      <w:pPr>
        <w:pStyle w:val="3"/>
        <w:keepNext/>
      </w:pPr>
      <w:r>
        <w:t>7.6 Main Step 3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093A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72" w:type="dxa"/>
            <w:shd w:val="clear" w:color="auto" w:fill="17324D"/>
            <w:tcMar>
              <w:top w:w="100" w:type="dxa"/>
              <w:left w:w="100" w:type="dxa"/>
              <w:bottom w:w="100" w:type="dxa"/>
              <w:right w:w="100" w:type="dxa"/>
            </w:tcMar>
            <w:vAlign w:val="center"/>
          </w:tcPr>
          <w:p w14:paraId="636D6E4F">
            <w:pPr>
              <w:spacing w:after="0" w:line="240" w:lineRule="auto"/>
              <w:jc w:val="center"/>
            </w:pPr>
            <w:r>
              <w:rPr>
                <w:rFonts w:ascii="Aptos" w:hAnsi="Aptos"/>
                <w:b/>
                <w:color w:val="FFFFFF"/>
                <w:sz w:val="16"/>
              </w:rPr>
              <w:t>Output</w:t>
            </w:r>
          </w:p>
        </w:tc>
        <w:tc>
          <w:tcPr>
            <w:tcW w:w="6552" w:type="dxa"/>
            <w:shd w:val="clear" w:color="auto" w:fill="17324D"/>
            <w:tcMar>
              <w:top w:w="100" w:type="dxa"/>
              <w:left w:w="100" w:type="dxa"/>
              <w:bottom w:w="100" w:type="dxa"/>
              <w:right w:w="100" w:type="dxa"/>
            </w:tcMar>
            <w:vAlign w:val="center"/>
          </w:tcPr>
          <w:p w14:paraId="2D39D6A2">
            <w:pPr>
              <w:spacing w:after="0" w:line="240" w:lineRule="auto"/>
              <w:jc w:val="center"/>
            </w:pPr>
            <w:r>
              <w:rPr>
                <w:rFonts w:ascii="Aptos" w:hAnsi="Aptos"/>
                <w:b/>
                <w:color w:val="FFFFFF"/>
                <w:sz w:val="16"/>
              </w:rPr>
              <w:t>How to interpret it</w:t>
            </w:r>
          </w:p>
        </w:tc>
      </w:tr>
      <w:tr w14:paraId="7016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0FBCC0E0">
            <w:pPr>
              <w:spacing w:after="0" w:line="240" w:lineRule="auto"/>
            </w:pPr>
            <w:r>
              <w:rPr>
                <w:rFonts w:ascii="Aptos" w:hAnsi="Aptos"/>
                <w:b/>
                <w:color w:val="27343D"/>
                <w:sz w:val="16"/>
              </w:rPr>
              <w:t>training_summary.csv</w:t>
            </w:r>
          </w:p>
        </w:tc>
        <w:tc>
          <w:tcPr>
            <w:tcW w:w="6552" w:type="dxa"/>
            <w:tcMar>
              <w:top w:w="100" w:type="dxa"/>
              <w:left w:w="100" w:type="dxa"/>
              <w:bottom w:w="100" w:type="dxa"/>
              <w:right w:w="100" w:type="dxa"/>
            </w:tcMar>
            <w:vAlign w:val="center"/>
          </w:tcPr>
          <w:p w14:paraId="1768ED60">
            <w:pPr>
              <w:spacing w:after="0" w:line="240" w:lineRule="auto"/>
            </w:pPr>
            <w:r>
              <w:rPr>
                <w:rFonts w:ascii="Aptos" w:hAnsi="Aptos"/>
                <w:b w:val="0"/>
                <w:color w:val="27343D"/>
                <w:sz w:val="16"/>
              </w:rPr>
              <w:t>Authoritative per-model CV ranking. Focus on best_cv_score, cv_score_std, cv_score_minus_std / cv_ranking_metric and supports_predict_proba.</w:t>
            </w:r>
          </w:p>
        </w:tc>
      </w:tr>
      <w:tr w14:paraId="5657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18F3D4A1">
            <w:pPr>
              <w:spacing w:after="0" w:line="240" w:lineRule="auto"/>
            </w:pPr>
            <w:r>
              <w:rPr>
                <w:rFonts w:ascii="Aptos" w:hAnsi="Aptos"/>
                <w:b/>
                <w:color w:val="27343D"/>
                <w:sz w:val="16"/>
              </w:rPr>
              <w:t>best_cv_fold_scores.csv</w:t>
            </w:r>
          </w:p>
        </w:tc>
        <w:tc>
          <w:tcPr>
            <w:tcW w:w="6552" w:type="dxa"/>
            <w:shd w:val="clear" w:color="auto" w:fill="F8FAFB"/>
            <w:tcMar>
              <w:top w:w="100" w:type="dxa"/>
              <w:left w:w="100" w:type="dxa"/>
              <w:bottom w:w="100" w:type="dxa"/>
              <w:right w:w="100" w:type="dxa"/>
            </w:tcMar>
            <w:vAlign w:val="center"/>
          </w:tcPr>
          <w:p w14:paraId="6262450D">
            <w:pPr>
              <w:spacing w:after="0" w:line="240" w:lineRule="auto"/>
            </w:pPr>
            <w:r>
              <w:rPr>
                <w:rFonts w:ascii="Aptos" w:hAnsi="Aptos"/>
                <w:b w:val="0"/>
                <w:color w:val="27343D"/>
                <w:sz w:val="16"/>
              </w:rPr>
              <w:t>Shows fold-to-fold stability. Large spread means the model is sensitive to the split.</w:t>
            </w:r>
          </w:p>
        </w:tc>
      </w:tr>
      <w:tr w14:paraId="4C62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0BA9E840">
            <w:pPr>
              <w:spacing w:after="0" w:line="240" w:lineRule="auto"/>
            </w:pPr>
            <w:r>
              <w:rPr>
                <w:rFonts w:ascii="Aptos" w:hAnsi="Aptos"/>
                <w:b/>
                <w:color w:val="27343D"/>
                <w:sz w:val="16"/>
              </w:rPr>
              <w:t>training_failed_models.csv</w:t>
            </w:r>
          </w:p>
        </w:tc>
        <w:tc>
          <w:tcPr>
            <w:tcW w:w="6552" w:type="dxa"/>
            <w:tcMar>
              <w:top w:w="100" w:type="dxa"/>
              <w:left w:w="100" w:type="dxa"/>
              <w:bottom w:w="100" w:type="dxa"/>
              <w:right w:w="100" w:type="dxa"/>
            </w:tcMar>
            <w:vAlign w:val="center"/>
          </w:tcPr>
          <w:p w14:paraId="4401A502">
            <w:pPr>
              <w:spacing w:after="0" w:line="240" w:lineRule="auto"/>
            </w:pPr>
            <w:r>
              <w:rPr>
                <w:rFonts w:ascii="Aptos" w:hAnsi="Aptos"/>
                <w:b w:val="0"/>
                <w:color w:val="27343D"/>
                <w:sz w:val="16"/>
              </w:rPr>
              <w:t>Failure isolation. One candidate can fail without stopping the others; investigate repeated or important failures.</w:t>
            </w:r>
          </w:p>
        </w:tc>
      </w:tr>
      <w:tr w14:paraId="6CEB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0C61D62D">
            <w:pPr>
              <w:spacing w:after="0" w:line="240" w:lineRule="auto"/>
            </w:pPr>
            <w:r>
              <w:rPr>
                <w:rFonts w:ascii="Aptos" w:hAnsi="Aptos"/>
                <w:b/>
                <w:color w:val="27343D"/>
                <w:sz w:val="16"/>
              </w:rPr>
              <w:t>model_specs.json</w:t>
            </w:r>
          </w:p>
        </w:tc>
        <w:tc>
          <w:tcPr>
            <w:tcW w:w="6552" w:type="dxa"/>
            <w:shd w:val="clear" w:color="auto" w:fill="F8FAFB"/>
            <w:tcMar>
              <w:top w:w="100" w:type="dxa"/>
              <w:left w:w="100" w:type="dxa"/>
              <w:bottom w:w="100" w:type="dxa"/>
              <w:right w:w="100" w:type="dxa"/>
            </w:tcMar>
            <w:vAlign w:val="center"/>
          </w:tcPr>
          <w:p w14:paraId="3C2F5E13">
            <w:pPr>
              <w:spacing w:after="0" w:line="240" w:lineRule="auto"/>
            </w:pPr>
            <w:r>
              <w:rPr>
                <w:rFonts w:ascii="Aptos" w:hAnsi="Aptos"/>
                <w:b w:val="0"/>
                <w:color w:val="27343D"/>
                <w:sz w:val="16"/>
              </w:rPr>
              <w:t>Best hyperparameters and metadata used to reconstruct models later.</w:t>
            </w:r>
          </w:p>
        </w:tc>
      </w:tr>
      <w:tr w14:paraId="2F34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26AE2272">
            <w:pPr>
              <w:spacing w:after="0" w:line="240" w:lineRule="auto"/>
            </w:pPr>
            <w:r>
              <w:rPr>
                <w:rFonts w:ascii="Aptos" w:hAnsi="Aptos"/>
                <w:b/>
                <w:color w:val="27343D"/>
                <w:sz w:val="16"/>
              </w:rPr>
              <w:t>models/&lt;model&gt;/cv_results.csv</w:t>
            </w:r>
          </w:p>
        </w:tc>
        <w:tc>
          <w:tcPr>
            <w:tcW w:w="6552" w:type="dxa"/>
            <w:tcMar>
              <w:top w:w="100" w:type="dxa"/>
              <w:left w:w="100" w:type="dxa"/>
              <w:bottom w:w="100" w:type="dxa"/>
              <w:right w:w="100" w:type="dxa"/>
            </w:tcMar>
            <w:vAlign w:val="center"/>
          </w:tcPr>
          <w:p w14:paraId="42545BE4">
            <w:pPr>
              <w:spacing w:after="0" w:line="240" w:lineRule="auto"/>
            </w:pPr>
            <w:r>
              <w:rPr>
                <w:rFonts w:ascii="Aptos" w:hAnsi="Aptos"/>
                <w:b w:val="0"/>
                <w:color w:val="27343D"/>
                <w:sz w:val="16"/>
              </w:rPr>
              <w:t>Full tuning history. Useful when diagnosing whether the search space was adequate.</w:t>
            </w:r>
          </w:p>
        </w:tc>
      </w:tr>
      <w:tr w14:paraId="6E22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shd w:val="clear" w:color="auto" w:fill="F8FAFB"/>
            <w:tcMar>
              <w:top w:w="100" w:type="dxa"/>
              <w:left w:w="100" w:type="dxa"/>
              <w:bottom w:w="100" w:type="dxa"/>
              <w:right w:w="100" w:type="dxa"/>
            </w:tcMar>
            <w:vAlign w:val="center"/>
          </w:tcPr>
          <w:p w14:paraId="3D25E1D8">
            <w:pPr>
              <w:spacing w:after="0" w:line="240" w:lineRule="auto"/>
            </w:pPr>
            <w:r>
              <w:rPr>
                <w:rFonts w:ascii="Aptos" w:hAnsi="Aptos"/>
                <w:b/>
                <w:color w:val="27343D"/>
                <w:sz w:val="16"/>
              </w:rPr>
              <w:t>models/&lt;model&gt;/best_model.joblib</w:t>
            </w:r>
          </w:p>
        </w:tc>
        <w:tc>
          <w:tcPr>
            <w:tcW w:w="6552" w:type="dxa"/>
            <w:shd w:val="clear" w:color="auto" w:fill="F8FAFB"/>
            <w:tcMar>
              <w:top w:w="100" w:type="dxa"/>
              <w:left w:w="100" w:type="dxa"/>
              <w:bottom w:w="100" w:type="dxa"/>
              <w:right w:w="100" w:type="dxa"/>
            </w:tcMar>
            <w:vAlign w:val="center"/>
          </w:tcPr>
          <w:p w14:paraId="28259DB6">
            <w:pPr>
              <w:spacing w:after="0" w:line="240" w:lineRule="auto"/>
            </w:pPr>
            <w:r>
              <w:rPr>
                <w:rFonts w:ascii="Aptos" w:hAnsi="Aptos"/>
                <w:b w:val="0"/>
                <w:color w:val="27343D"/>
                <w:sz w:val="16"/>
              </w:rPr>
              <w:t>Best fitted estimator for evaluation and incremental reuse.</w:t>
            </w:r>
          </w:p>
        </w:tc>
      </w:tr>
      <w:tr w14:paraId="1927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72" w:type="dxa"/>
            <w:tcMar>
              <w:top w:w="100" w:type="dxa"/>
              <w:left w:w="100" w:type="dxa"/>
              <w:bottom w:w="100" w:type="dxa"/>
              <w:right w:w="100" w:type="dxa"/>
            </w:tcMar>
            <w:vAlign w:val="center"/>
          </w:tcPr>
          <w:p w14:paraId="6ABF1A5C">
            <w:pPr>
              <w:spacing w:after="0" w:line="240" w:lineRule="auto"/>
            </w:pPr>
            <w:r>
              <w:rPr>
                <w:rFonts w:ascii="Aptos" w:hAnsi="Aptos"/>
                <w:b/>
                <w:color w:val="27343D"/>
                <w:sz w:val="16"/>
              </w:rPr>
              <w:t>models/&lt;model&gt;/oof_probabilities.joblib</w:t>
            </w:r>
          </w:p>
        </w:tc>
        <w:tc>
          <w:tcPr>
            <w:tcW w:w="6552" w:type="dxa"/>
            <w:tcMar>
              <w:top w:w="100" w:type="dxa"/>
              <w:left w:w="100" w:type="dxa"/>
              <w:bottom w:w="100" w:type="dxa"/>
              <w:right w:w="100" w:type="dxa"/>
            </w:tcMar>
            <w:vAlign w:val="center"/>
          </w:tcPr>
          <w:p w14:paraId="06F480F8">
            <w:pPr>
              <w:spacing w:after="0" w:line="240" w:lineRule="auto"/>
            </w:pPr>
            <w:r>
              <w:t>Leakage-safe member-model probabilities used in Step 4 for OOF soft voting, class reliability, and optional probability optimization.</w:t>
            </w:r>
          </w:p>
        </w:tc>
      </w:tr>
    </w:tbl>
    <w:p w14:paraId="641F3151">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35A75D12">
        <w:tblPrEx>
          <w:tblCellMar>
            <w:top w:w="0" w:type="dxa"/>
            <w:left w:w="108" w:type="dxa"/>
            <w:bottom w:w="0" w:type="dxa"/>
            <w:right w:w="108" w:type="dxa"/>
          </w:tblCellMar>
        </w:tblPrEx>
        <w:trPr>
          <w:jc w:val="center"/>
        </w:trPr>
        <w:tc>
          <w:tcPr>
            <w:tcW w:w="10080" w:type="dxa"/>
            <w:shd w:val="clear" w:color="auto" w:fill="EDF7F5"/>
            <w:tcMar>
              <w:top w:w="130" w:type="dxa"/>
              <w:left w:w="160" w:type="dxa"/>
              <w:bottom w:w="130" w:type="dxa"/>
              <w:right w:w="160" w:type="dxa"/>
            </w:tcMar>
          </w:tcPr>
          <w:p w14:paraId="0D6CCEF5">
            <w:pPr>
              <w:spacing w:after="40"/>
            </w:pPr>
            <w:r>
              <w:rPr>
                <w:rFonts w:ascii="Aptos" w:hAnsi="Aptos"/>
                <w:b/>
                <w:color w:val="2A9D8F"/>
                <w:sz w:val="20"/>
              </w:rPr>
              <w:t xml:space="preserve">Incremental workflow  </w:t>
            </w:r>
            <w:r>
              <w:rPr>
                <w:rFonts w:ascii="Aptos" w:hAnsi="Aptos"/>
                <w:color w:val="27343D"/>
                <w:sz w:val="20"/>
              </w:rPr>
              <w:t>When model artifacts already exist and force_retrain_models is false, the training stage can reuse fully trained models and train only new/missing candidates. This makes experimentation with additional model families cheaper.</w:t>
            </w:r>
          </w:p>
        </w:tc>
      </w:tr>
    </w:tbl>
    <w:p w14:paraId="6B54E99D">
      <w:pPr>
        <w:spacing w:after="0"/>
      </w:pPr>
    </w:p>
    <w:p w14:paraId="20A289BB">
      <w:pPr>
        <w:pStyle w:val="2"/>
        <w:keepNext/>
      </w:pPr>
      <w:r>
        <w:t>8. Step 4 — EVALUATE: compare, select and validate</w:t>
      </w:r>
    </w:p>
    <w:p w14:paraId="1A511A70">
      <w:pPr>
        <w:pStyle w:val="13"/>
      </w:pPr>
      <w:r>
        <w:t>Step 4 has three responsibilities: (1) report how the trained models perform, (2) freeze the final prediction strategy based on cross-validation evidence, and (3) build the confidence contract. The contract contains the parcel-rank thresholds and a simple per-class OOF reliability table based on precision. The untouched holdout set is then used only to verify that HIGH / MEDIUM / LOW separate more-reliable from less-reliable predictions.</w:t>
      </w:r>
    </w:p>
    <w:p w14:paraId="1CD0B2CA">
      <w:pPr>
        <w:pStyle w:val="3"/>
        <w:keepNext/>
      </w:pPr>
      <w:r>
        <w:t>8.1 Base-model evaluation</w:t>
      </w:r>
    </w:p>
    <w:p w14:paraId="7C9F4BFC">
      <w:pPr>
        <w:pStyle w:val="13"/>
      </w:pPr>
      <w:r>
        <w:rPr>
          <w:rFonts w:ascii="Aptos" w:hAnsi="Aptos"/>
        </w:rPr>
        <w:t>Every selected trained model is loaded and evaluated on both train and holdout test data. Per-class classification reports, confusion matrices and ROC-related plots are written. Probability-column order is explicitly checked against the canonical label order before probabilities are used.</w:t>
      </w:r>
    </w:p>
    <w:p w14:paraId="20743988">
      <w:pPr>
        <w:pStyle w:val="3"/>
        <w:keepNext/>
      </w:pPr>
      <w:r>
        <w:t>8.2 Metrics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620A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8" w:type="dxa"/>
            <w:shd w:val="clear" w:color="auto" w:fill="17324D"/>
            <w:tcMar>
              <w:top w:w="100" w:type="dxa"/>
              <w:left w:w="100" w:type="dxa"/>
              <w:bottom w:w="100" w:type="dxa"/>
              <w:right w:w="100" w:type="dxa"/>
            </w:tcMar>
            <w:vAlign w:val="center"/>
          </w:tcPr>
          <w:p w14:paraId="624878DB">
            <w:pPr>
              <w:spacing w:after="0" w:line="240" w:lineRule="auto"/>
              <w:jc w:val="center"/>
            </w:pPr>
            <w:r>
              <w:rPr>
                <w:rFonts w:ascii="Aptos" w:hAnsi="Aptos"/>
                <w:b/>
                <w:color w:val="FFFFFF"/>
                <w:sz w:val="16"/>
              </w:rPr>
              <w:t>Metric</w:t>
            </w:r>
          </w:p>
        </w:tc>
        <w:tc>
          <w:tcPr>
            <w:tcW w:w="4608" w:type="dxa"/>
            <w:shd w:val="clear" w:color="auto" w:fill="17324D"/>
            <w:tcMar>
              <w:top w:w="100" w:type="dxa"/>
              <w:left w:w="100" w:type="dxa"/>
              <w:bottom w:w="100" w:type="dxa"/>
              <w:right w:w="100" w:type="dxa"/>
            </w:tcMar>
            <w:vAlign w:val="center"/>
          </w:tcPr>
          <w:p w14:paraId="4A190958">
            <w:pPr>
              <w:spacing w:after="0" w:line="240" w:lineRule="auto"/>
              <w:jc w:val="center"/>
            </w:pPr>
            <w:r>
              <w:rPr>
                <w:rFonts w:ascii="Aptos" w:hAnsi="Aptos"/>
                <w:b/>
                <w:color w:val="FFFFFF"/>
                <w:sz w:val="16"/>
              </w:rPr>
              <w:t>Plain-language meaning</w:t>
            </w:r>
          </w:p>
        </w:tc>
        <w:tc>
          <w:tcPr>
            <w:tcW w:w="3528" w:type="dxa"/>
            <w:shd w:val="clear" w:color="auto" w:fill="17324D"/>
            <w:tcMar>
              <w:top w:w="100" w:type="dxa"/>
              <w:left w:w="100" w:type="dxa"/>
              <w:bottom w:w="100" w:type="dxa"/>
              <w:right w:w="100" w:type="dxa"/>
            </w:tcMar>
            <w:vAlign w:val="center"/>
          </w:tcPr>
          <w:p w14:paraId="028238C5">
            <w:pPr>
              <w:spacing w:after="0" w:line="240" w:lineRule="auto"/>
              <w:jc w:val="center"/>
            </w:pPr>
            <w:r>
              <w:rPr>
                <w:rFonts w:ascii="Aptos" w:hAnsi="Aptos"/>
                <w:b/>
                <w:color w:val="FFFFFF"/>
                <w:sz w:val="16"/>
              </w:rPr>
              <w:t>When it matters most</w:t>
            </w:r>
          </w:p>
        </w:tc>
      </w:tr>
      <w:tr w14:paraId="7B08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00" w:type="dxa"/>
              <w:bottom w:w="100" w:type="dxa"/>
              <w:right w:w="100" w:type="dxa"/>
            </w:tcMar>
            <w:vAlign w:val="center"/>
          </w:tcPr>
          <w:p w14:paraId="640B4D1A">
            <w:pPr>
              <w:spacing w:after="0" w:line="240" w:lineRule="auto"/>
            </w:pPr>
            <w:r>
              <w:rPr>
                <w:rFonts w:ascii="Aptos" w:hAnsi="Aptos"/>
                <w:b/>
                <w:color w:val="27343D"/>
                <w:sz w:val="16"/>
              </w:rPr>
              <w:t>Accuracy</w:t>
            </w:r>
          </w:p>
        </w:tc>
        <w:tc>
          <w:tcPr>
            <w:tcW w:w="4608" w:type="dxa"/>
            <w:tcMar>
              <w:top w:w="100" w:type="dxa"/>
              <w:left w:w="100" w:type="dxa"/>
              <w:bottom w:w="100" w:type="dxa"/>
              <w:right w:w="100" w:type="dxa"/>
            </w:tcMar>
            <w:vAlign w:val="center"/>
          </w:tcPr>
          <w:p w14:paraId="5AF28F41">
            <w:pPr>
              <w:spacing w:after="0" w:line="240" w:lineRule="auto"/>
            </w:pPr>
            <w:r>
              <w:rPr>
                <w:rFonts w:ascii="Aptos" w:hAnsi="Aptos"/>
                <w:b w:val="0"/>
                <w:color w:val="27343D"/>
                <w:sz w:val="16"/>
              </w:rPr>
              <w:t>Fraction of all parcels classified correctly.</w:t>
            </w:r>
          </w:p>
        </w:tc>
        <w:tc>
          <w:tcPr>
            <w:tcW w:w="3528" w:type="dxa"/>
            <w:tcMar>
              <w:top w:w="100" w:type="dxa"/>
              <w:left w:w="100" w:type="dxa"/>
              <w:bottom w:w="100" w:type="dxa"/>
              <w:right w:w="100" w:type="dxa"/>
            </w:tcMar>
            <w:vAlign w:val="center"/>
          </w:tcPr>
          <w:p w14:paraId="509A257A">
            <w:pPr>
              <w:spacing w:after="0" w:line="240" w:lineRule="auto"/>
            </w:pPr>
            <w:r>
              <w:rPr>
                <w:rFonts w:ascii="Aptos" w:hAnsi="Aptos"/>
                <w:b w:val="0"/>
                <w:color w:val="27343D"/>
                <w:sz w:val="16"/>
              </w:rPr>
              <w:t>Easy headline metric, but can hide poor minority-class performance.</w:t>
            </w:r>
          </w:p>
        </w:tc>
      </w:tr>
      <w:tr w14:paraId="367C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8FAFB"/>
            <w:tcMar>
              <w:top w:w="100" w:type="dxa"/>
              <w:left w:w="100" w:type="dxa"/>
              <w:bottom w:w="100" w:type="dxa"/>
              <w:right w:w="100" w:type="dxa"/>
            </w:tcMar>
            <w:vAlign w:val="center"/>
          </w:tcPr>
          <w:p w14:paraId="725F692B">
            <w:pPr>
              <w:spacing w:after="0" w:line="240" w:lineRule="auto"/>
            </w:pPr>
            <w:r>
              <w:rPr>
                <w:rFonts w:ascii="Aptos" w:hAnsi="Aptos"/>
                <w:b/>
                <w:color w:val="27343D"/>
                <w:sz w:val="16"/>
              </w:rPr>
              <w:t>Balanced accuracy</w:t>
            </w:r>
          </w:p>
        </w:tc>
        <w:tc>
          <w:tcPr>
            <w:tcW w:w="4608" w:type="dxa"/>
            <w:shd w:val="clear" w:color="auto" w:fill="F8FAFB"/>
            <w:tcMar>
              <w:top w:w="100" w:type="dxa"/>
              <w:left w:w="100" w:type="dxa"/>
              <w:bottom w:w="100" w:type="dxa"/>
              <w:right w:w="100" w:type="dxa"/>
            </w:tcMar>
            <w:vAlign w:val="center"/>
          </w:tcPr>
          <w:p w14:paraId="201C5C35">
            <w:pPr>
              <w:spacing w:after="0" w:line="240" w:lineRule="auto"/>
            </w:pPr>
            <w:r>
              <w:rPr>
                <w:rFonts w:ascii="Aptos" w:hAnsi="Aptos"/>
                <w:b w:val="0"/>
                <w:color w:val="27343D"/>
                <w:sz w:val="16"/>
              </w:rPr>
              <w:t>Average recall across classes, with equal class weight.</w:t>
            </w:r>
          </w:p>
        </w:tc>
        <w:tc>
          <w:tcPr>
            <w:tcW w:w="3528" w:type="dxa"/>
            <w:shd w:val="clear" w:color="auto" w:fill="F8FAFB"/>
            <w:tcMar>
              <w:top w:w="100" w:type="dxa"/>
              <w:left w:w="100" w:type="dxa"/>
              <w:bottom w:w="100" w:type="dxa"/>
              <w:right w:w="100" w:type="dxa"/>
            </w:tcMar>
            <w:vAlign w:val="center"/>
          </w:tcPr>
          <w:p w14:paraId="2A745C87">
            <w:pPr>
              <w:spacing w:after="0" w:line="240" w:lineRule="auto"/>
            </w:pPr>
            <w:r>
              <w:rPr>
                <w:rFonts w:ascii="Aptos" w:hAnsi="Aptos"/>
                <w:b w:val="0"/>
                <w:color w:val="27343D"/>
                <w:sz w:val="16"/>
              </w:rPr>
              <w:t>Useful when classes are imbalanced.</w:t>
            </w:r>
          </w:p>
        </w:tc>
      </w:tr>
      <w:tr w14:paraId="1C94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00" w:type="dxa"/>
              <w:bottom w:w="100" w:type="dxa"/>
              <w:right w:w="100" w:type="dxa"/>
            </w:tcMar>
            <w:vAlign w:val="center"/>
          </w:tcPr>
          <w:p w14:paraId="2D2071B3">
            <w:pPr>
              <w:spacing w:after="0" w:line="240" w:lineRule="auto"/>
            </w:pPr>
            <w:r>
              <w:rPr>
                <w:rFonts w:ascii="Aptos" w:hAnsi="Aptos"/>
                <w:b/>
                <w:color w:val="27343D"/>
                <w:sz w:val="16"/>
              </w:rPr>
              <w:t>Macro-F1</w:t>
            </w:r>
          </w:p>
        </w:tc>
        <w:tc>
          <w:tcPr>
            <w:tcW w:w="4608" w:type="dxa"/>
            <w:tcMar>
              <w:top w:w="100" w:type="dxa"/>
              <w:left w:w="100" w:type="dxa"/>
              <w:bottom w:w="100" w:type="dxa"/>
              <w:right w:w="100" w:type="dxa"/>
            </w:tcMar>
            <w:vAlign w:val="center"/>
          </w:tcPr>
          <w:p w14:paraId="6C584F78">
            <w:pPr>
              <w:spacing w:after="0" w:line="240" w:lineRule="auto"/>
            </w:pPr>
            <w:r>
              <w:rPr>
                <w:rFonts w:ascii="Aptos" w:hAnsi="Aptos"/>
                <w:b w:val="0"/>
                <w:color w:val="27343D"/>
                <w:sz w:val="16"/>
              </w:rPr>
              <w:t>F1 calculated per class, then averaged equally.</w:t>
            </w:r>
          </w:p>
        </w:tc>
        <w:tc>
          <w:tcPr>
            <w:tcW w:w="3528" w:type="dxa"/>
            <w:tcMar>
              <w:top w:w="100" w:type="dxa"/>
              <w:left w:w="100" w:type="dxa"/>
              <w:bottom w:w="100" w:type="dxa"/>
              <w:right w:w="100" w:type="dxa"/>
            </w:tcMar>
            <w:vAlign w:val="center"/>
          </w:tcPr>
          <w:p w14:paraId="797D9FA1">
            <w:pPr>
              <w:spacing w:after="0" w:line="240" w:lineRule="auto"/>
            </w:pPr>
            <w:r>
              <w:rPr>
                <w:rFonts w:ascii="Aptos" w:hAnsi="Aptos"/>
                <w:b w:val="0"/>
                <w:color w:val="27343D"/>
                <w:sz w:val="16"/>
              </w:rPr>
              <w:t>Default primary metric; strong choice when every crop class matters.</w:t>
            </w:r>
          </w:p>
        </w:tc>
      </w:tr>
      <w:tr w14:paraId="7C09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8FAFB"/>
            <w:tcMar>
              <w:top w:w="100" w:type="dxa"/>
              <w:left w:w="100" w:type="dxa"/>
              <w:bottom w:w="100" w:type="dxa"/>
              <w:right w:w="100" w:type="dxa"/>
            </w:tcMar>
            <w:vAlign w:val="center"/>
          </w:tcPr>
          <w:p w14:paraId="75779035">
            <w:pPr>
              <w:spacing w:after="0" w:line="240" w:lineRule="auto"/>
            </w:pPr>
            <w:r>
              <w:rPr>
                <w:rFonts w:ascii="Aptos" w:hAnsi="Aptos"/>
                <w:b/>
                <w:color w:val="27343D"/>
                <w:sz w:val="16"/>
              </w:rPr>
              <w:t>Weighted F1</w:t>
            </w:r>
          </w:p>
        </w:tc>
        <w:tc>
          <w:tcPr>
            <w:tcW w:w="4608" w:type="dxa"/>
            <w:shd w:val="clear" w:color="auto" w:fill="F8FAFB"/>
            <w:tcMar>
              <w:top w:w="100" w:type="dxa"/>
              <w:left w:w="100" w:type="dxa"/>
              <w:bottom w:w="100" w:type="dxa"/>
              <w:right w:w="100" w:type="dxa"/>
            </w:tcMar>
            <w:vAlign w:val="center"/>
          </w:tcPr>
          <w:p w14:paraId="6A95E668">
            <w:pPr>
              <w:spacing w:after="0" w:line="240" w:lineRule="auto"/>
            </w:pPr>
            <w:r>
              <w:rPr>
                <w:rFonts w:ascii="Aptos" w:hAnsi="Aptos"/>
                <w:b w:val="0"/>
                <w:color w:val="27343D"/>
                <w:sz w:val="16"/>
              </w:rPr>
              <w:t>Per-class F1 weighted by number of samples.</w:t>
            </w:r>
          </w:p>
        </w:tc>
        <w:tc>
          <w:tcPr>
            <w:tcW w:w="3528" w:type="dxa"/>
            <w:shd w:val="clear" w:color="auto" w:fill="F8FAFB"/>
            <w:tcMar>
              <w:top w:w="100" w:type="dxa"/>
              <w:left w:w="100" w:type="dxa"/>
              <w:bottom w:w="100" w:type="dxa"/>
              <w:right w:w="100" w:type="dxa"/>
            </w:tcMar>
            <w:vAlign w:val="center"/>
          </w:tcPr>
          <w:p w14:paraId="39E8F39E">
            <w:pPr>
              <w:spacing w:after="0" w:line="240" w:lineRule="auto"/>
            </w:pPr>
            <w:r>
              <w:rPr>
                <w:rFonts w:ascii="Aptos" w:hAnsi="Aptos"/>
                <w:b w:val="0"/>
                <w:color w:val="27343D"/>
                <w:sz w:val="16"/>
              </w:rPr>
              <w:t>Reflects overall volume but favors common classes.</w:t>
            </w:r>
          </w:p>
        </w:tc>
      </w:tr>
      <w:tr w14:paraId="4EAD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100" w:type="dxa"/>
              <w:left w:w="100" w:type="dxa"/>
              <w:bottom w:w="100" w:type="dxa"/>
              <w:right w:w="100" w:type="dxa"/>
            </w:tcMar>
            <w:vAlign w:val="center"/>
          </w:tcPr>
          <w:p w14:paraId="0FEEB0FD">
            <w:pPr>
              <w:spacing w:after="0" w:line="240" w:lineRule="auto"/>
            </w:pPr>
            <w:r>
              <w:rPr>
                <w:rFonts w:ascii="Aptos" w:hAnsi="Aptos"/>
                <w:b/>
                <w:color w:val="27343D"/>
                <w:sz w:val="16"/>
              </w:rPr>
              <w:t>Weighted precision / recall</w:t>
            </w:r>
          </w:p>
        </w:tc>
        <w:tc>
          <w:tcPr>
            <w:tcW w:w="4608" w:type="dxa"/>
            <w:tcMar>
              <w:top w:w="100" w:type="dxa"/>
              <w:left w:w="100" w:type="dxa"/>
              <w:bottom w:w="100" w:type="dxa"/>
              <w:right w:w="100" w:type="dxa"/>
            </w:tcMar>
            <w:vAlign w:val="center"/>
          </w:tcPr>
          <w:p w14:paraId="2BE6B446">
            <w:pPr>
              <w:spacing w:after="0" w:line="240" w:lineRule="auto"/>
            </w:pPr>
            <w:r>
              <w:rPr>
                <w:rFonts w:ascii="Aptos" w:hAnsi="Aptos"/>
                <w:b w:val="0"/>
                <w:color w:val="27343D"/>
                <w:sz w:val="16"/>
              </w:rPr>
              <w:t>Global summaries weighted by class support.</w:t>
            </w:r>
          </w:p>
        </w:tc>
        <w:tc>
          <w:tcPr>
            <w:tcW w:w="3528" w:type="dxa"/>
            <w:tcMar>
              <w:top w:w="100" w:type="dxa"/>
              <w:left w:w="100" w:type="dxa"/>
              <w:bottom w:w="100" w:type="dxa"/>
              <w:right w:w="100" w:type="dxa"/>
            </w:tcMar>
            <w:vAlign w:val="center"/>
          </w:tcPr>
          <w:p w14:paraId="03B4DDFC">
            <w:pPr>
              <w:spacing w:after="0" w:line="240" w:lineRule="auto"/>
            </w:pPr>
            <w:r>
              <w:rPr>
                <w:rFonts w:ascii="Aptos" w:hAnsi="Aptos"/>
                <w:b w:val="0"/>
                <w:color w:val="27343D"/>
                <w:sz w:val="16"/>
              </w:rPr>
              <w:t>Useful supporting diagnostics.</w:t>
            </w:r>
          </w:p>
        </w:tc>
      </w:tr>
      <w:tr w14:paraId="68D83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8FAFB"/>
            <w:tcMar>
              <w:top w:w="100" w:type="dxa"/>
              <w:left w:w="100" w:type="dxa"/>
              <w:bottom w:w="100" w:type="dxa"/>
              <w:right w:w="100" w:type="dxa"/>
            </w:tcMar>
            <w:vAlign w:val="center"/>
          </w:tcPr>
          <w:p w14:paraId="0EFC1D80">
            <w:pPr>
              <w:spacing w:after="0" w:line="240" w:lineRule="auto"/>
            </w:pPr>
            <w:r>
              <w:rPr>
                <w:rFonts w:ascii="Aptos" w:hAnsi="Aptos"/>
                <w:b/>
                <w:color w:val="27343D"/>
                <w:sz w:val="16"/>
              </w:rPr>
              <w:t>Weighted ROC AUC</w:t>
            </w:r>
          </w:p>
        </w:tc>
        <w:tc>
          <w:tcPr>
            <w:tcW w:w="4608" w:type="dxa"/>
            <w:shd w:val="clear" w:color="auto" w:fill="F8FAFB"/>
            <w:tcMar>
              <w:top w:w="100" w:type="dxa"/>
              <w:left w:w="100" w:type="dxa"/>
              <w:bottom w:w="100" w:type="dxa"/>
              <w:right w:w="100" w:type="dxa"/>
            </w:tcMar>
            <w:vAlign w:val="center"/>
          </w:tcPr>
          <w:p w14:paraId="4AE1348E">
            <w:pPr>
              <w:spacing w:after="0" w:line="240" w:lineRule="auto"/>
            </w:pPr>
            <w:r>
              <w:rPr>
                <w:rFonts w:ascii="Aptos" w:hAnsi="Aptos"/>
                <w:b w:val="0"/>
                <w:color w:val="27343D"/>
                <w:sz w:val="16"/>
              </w:rPr>
              <w:t>Ability of probabilities to rank true classes above alternatives.</w:t>
            </w:r>
          </w:p>
        </w:tc>
        <w:tc>
          <w:tcPr>
            <w:tcW w:w="3528" w:type="dxa"/>
            <w:shd w:val="clear" w:color="auto" w:fill="F8FAFB"/>
            <w:tcMar>
              <w:top w:w="100" w:type="dxa"/>
              <w:left w:w="100" w:type="dxa"/>
              <w:bottom w:w="100" w:type="dxa"/>
              <w:right w:w="100" w:type="dxa"/>
            </w:tcMar>
            <w:vAlign w:val="center"/>
          </w:tcPr>
          <w:p w14:paraId="1293CF77">
            <w:pPr>
              <w:spacing w:after="0" w:line="240" w:lineRule="auto"/>
            </w:pPr>
            <w:r>
              <w:rPr>
                <w:rFonts w:ascii="Aptos" w:hAnsi="Aptos"/>
                <w:b w:val="0"/>
                <w:color w:val="27343D"/>
                <w:sz w:val="16"/>
              </w:rPr>
              <w:t>Useful probability-quality indicator; not identical to final accuracy.</w:t>
            </w:r>
          </w:p>
        </w:tc>
      </w:tr>
    </w:tbl>
    <w:p w14:paraId="3B6E7AD9">
      <w:pPr>
        <w:spacing w:after="0"/>
      </w:pPr>
    </w:p>
    <w:p w14:paraId="523C163A">
      <w:pPr>
        <w:pStyle w:val="3"/>
        <w:keepNext/>
      </w:pPr>
      <w:r>
        <w:t>8.3 Train vs test</w:t>
      </w:r>
    </w:p>
    <w:p w14:paraId="1EA9DA3B">
      <w:pPr>
        <w:pStyle w:val="13"/>
      </w:pPr>
      <w:r>
        <w:rPr>
          <w:rFonts w:ascii="Aptos" w:hAnsi="Aptos"/>
        </w:rPr>
        <w:t>A large train–test gap is a warning sign for overfitting or domain shift. The holdout test is the most important performance view because it was not used for tuning or confidence fitting. In spatial projects, the test result is especially meaningful when by_group is used.</w:t>
      </w:r>
    </w:p>
    <w:p w14:paraId="16631305">
      <w:pPr>
        <w:pStyle w:val="3"/>
        <w:keepNext/>
      </w:pPr>
      <w:r>
        <w:t>8.4 Model selection is frozen from CV</w:t>
      </w:r>
    </w:p>
    <w:p w14:paraId="352DD825">
      <w:pPr>
        <w:pStyle w:val="13"/>
      </w:pPr>
      <w:r>
        <w:rPr>
          <w:rFonts w:ascii="Aptos" w:hAnsi="Aptos"/>
        </w:rPr>
        <w:t>Probability-capable models are ordered using the Step 3 CV ranking. If soft voting is configured and at least two eligible models exist, the top models become the voting ensemble. If only one is available, the pipeline falls back to a single-model strategy. The test metrics are displayed but do not change which model wins.</w:t>
      </w:r>
    </w:p>
    <w:tbl>
      <w:tblPr>
        <w:tblStyle w:val="12"/>
        <w:tblW w:w="0" w:type="auto"/>
        <w:jc w:val="center"/>
        <w:tblLayout w:type="autofit"/>
        <w:tblCellMar>
          <w:top w:w="0" w:type="dxa"/>
          <w:left w:w="108" w:type="dxa"/>
          <w:bottom w:w="0" w:type="dxa"/>
          <w:right w:w="108" w:type="dxa"/>
        </w:tblCellMar>
      </w:tblPr>
      <w:tblGrid>
        <w:gridCol w:w="10080"/>
      </w:tblGrid>
      <w:tr w14:paraId="3DE4AF5D">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0DFE9C6C">
            <w:pPr>
              <w:spacing w:after="40"/>
            </w:pPr>
            <w:r>
              <w:rPr>
                <w:rFonts w:ascii="Aptos" w:hAnsi="Aptos"/>
                <w:b/>
                <w:color w:val="C95A5A"/>
                <w:sz w:val="20"/>
              </w:rPr>
              <w:t xml:space="preserve">Why this matters  </w:t>
            </w:r>
            <w:r>
              <w:rPr>
                <w:rFonts w:ascii="Aptos" w:hAnsi="Aptos"/>
                <w:color w:val="27343D"/>
                <w:sz w:val="20"/>
              </w:rPr>
              <w:t>Selecting the model that happens to score best on the test set would turn the test set into another tuning set and make the reported generalization performance optimistic.</w:t>
            </w:r>
          </w:p>
        </w:tc>
      </w:tr>
    </w:tbl>
    <w:p w14:paraId="1B5F29A0">
      <w:pPr>
        <w:spacing w:after="0"/>
      </w:pPr>
    </w:p>
    <w:p w14:paraId="460A9D6A">
      <w:pPr>
        <w:pStyle w:val="3"/>
        <w:keepNext/>
      </w:pPr>
      <w:r>
        <w:t xml:space="preserve">8.5 </w:t>
      </w:r>
      <w:r>
        <w:rPr>
          <w:lang w:val="en-US"/>
        </w:rPr>
        <w:t>Interpret ability</w:t>
      </w:r>
      <w:r>
        <w:t xml:space="preserve"> outputs</w:t>
      </w:r>
    </w:p>
    <w:p w14:paraId="35A06175">
      <w:pPr>
        <w:pStyle w:val="13"/>
      </w:pPr>
      <w:r>
        <w:rPr>
          <w:rFonts w:ascii="Aptos" w:hAnsi="Aptos"/>
        </w:rPr>
        <w:t>For the top CV-ranked models, tree-based estimators can produce feature-importance tables/plots. SHAP summaries are optional. These outputs help explain what a model uses, but they do not affect model selection or predictions.</w:t>
      </w:r>
    </w:p>
    <w:p w14:paraId="5545995F">
      <w:pPr>
        <w:pStyle w:val="2"/>
        <w:keepNext/>
      </w:pPr>
      <w:r>
        <w:t>9. Ensemble prediction: soft voting and optional class multipliers</w:t>
      </w:r>
    </w:p>
    <w:p w14:paraId="5DE1C6ED">
      <w:pPr>
        <w:jc w:val="center"/>
      </w:pPr>
      <w:r>
        <w:drawing>
          <wp:inline distT="0" distB="0" distL="114300" distR="114300">
            <wp:extent cx="6355080"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355080" cy="3096133"/>
                    </a:xfrm>
                    <a:prstGeom prst="rect">
                      <a:avLst/>
                    </a:prstGeom>
                  </pic:spPr>
                </pic:pic>
              </a:graphicData>
            </a:graphic>
          </wp:inline>
        </w:drawing>
      </w:r>
    </w:p>
    <w:p w14:paraId="2647FFFB">
      <w:pPr>
        <w:spacing w:after="160"/>
        <w:jc w:val="center"/>
      </w:pPr>
      <w:r>
        <w:rPr>
          <w:rFonts w:ascii="Aptos" w:hAnsi="Aptos"/>
          <w:i/>
          <w:color w:val="6B7780"/>
          <w:sz w:val="17"/>
        </w:rPr>
        <w:t>Figure 5. Soft voting averages the selected models’ class probabilities and chooses the largest average.</w:t>
      </w:r>
    </w:p>
    <w:p w14:paraId="28FF0669">
      <w:pPr>
        <w:pStyle w:val="13"/>
      </w:pPr>
      <w:r>
        <w:rPr>
          <w:rFonts w:ascii="Aptos" w:hAnsi="Aptos"/>
        </w:rPr>
        <w:t>In soft voting, each selected model provides a probability-like score for every class. The pipeline aligns the class columns, averages model probabilities with equal weight, and chooses the class with the highest final average. This is the production label unless the project is configured for a single model.</w:t>
      </w:r>
    </w:p>
    <w:p w14:paraId="0598D5E1">
      <w:pPr>
        <w:pStyle w:val="3"/>
        <w:keepNext/>
      </w:pPr>
      <w:r>
        <w:t>9.1 Why the probabilities are not used directly as “confidence”</w:t>
      </w:r>
    </w:p>
    <w:p w14:paraId="602A2EDD">
      <w:pPr>
        <w:pStyle w:val="13"/>
      </w:pPr>
      <w:r>
        <w:rPr>
          <w:rFonts w:ascii="Aptos" w:hAnsi="Aptos"/>
        </w:rPr>
        <w:t>Different model families have different probability calibration. A neural network may routinely output 0.98 where a random forest outputs 0.72 for a prediction of similar reliability. Therefore the winning averaged probability is stored as prediction_max_probability for diagnostics, but HIGH/MEDIUM/LOW confidence is determined separately.</w:t>
      </w:r>
    </w:p>
    <w:p w14:paraId="07328EDB">
      <w:pPr>
        <w:pStyle w:val="3"/>
        <w:keepNext/>
      </w:pPr>
      <w:r>
        <w:t>9.2 Optional class probability multipliers</w:t>
      </w:r>
    </w:p>
    <w:p w14:paraId="4A38CB8A">
      <w:pPr>
        <w:pStyle w:val="13"/>
      </w:pPr>
      <w:r>
        <w:rPr>
          <w:rFonts w:ascii="Aptos" w:hAnsi="Aptos"/>
        </w:rPr>
        <w:t>When optimize_class_probabilities is enabled, the pipeline searches per-class multipliers using OOF averaged probabilities. The objective is to improve OOF macro-F1 while preventing overall accuracy from dropping more than the configured tolerance (0.02 by default). Multipliers are then frozen inside the selected strategy and applied after model-probability averaging.</w:t>
      </w:r>
    </w:p>
    <w:tbl>
      <w:tblPr>
        <w:tblStyle w:val="12"/>
        <w:tblW w:w="0" w:type="auto"/>
        <w:jc w:val="center"/>
        <w:tblLayout w:type="autofit"/>
        <w:tblCellMar>
          <w:top w:w="0" w:type="dxa"/>
          <w:left w:w="108" w:type="dxa"/>
          <w:bottom w:w="0" w:type="dxa"/>
          <w:right w:w="108" w:type="dxa"/>
        </w:tblCellMar>
      </w:tblPr>
      <w:tblGrid>
        <w:gridCol w:w="10080"/>
      </w:tblGrid>
      <w:tr w14:paraId="72BDBBCB">
        <w:tblPrEx>
          <w:tblCellMar>
            <w:top w:w="0" w:type="dxa"/>
            <w:left w:w="108" w:type="dxa"/>
            <w:bottom w:w="0" w:type="dxa"/>
            <w:right w:w="108" w:type="dxa"/>
          </w:tblCellMar>
        </w:tblPrEx>
        <w:trPr>
          <w:jc w:val="center"/>
        </w:trPr>
        <w:tc>
          <w:tcPr>
            <w:tcW w:w="10080" w:type="dxa"/>
            <w:shd w:val="clear" w:color="auto" w:fill="F5F2FB"/>
            <w:tcMar>
              <w:top w:w="130" w:type="dxa"/>
              <w:left w:w="160" w:type="dxa"/>
              <w:bottom w:w="130" w:type="dxa"/>
              <w:right w:w="160" w:type="dxa"/>
            </w:tcMar>
          </w:tcPr>
          <w:p w14:paraId="1B4240BB">
            <w:pPr>
              <w:spacing w:after="40"/>
            </w:pPr>
            <w:r>
              <w:rPr>
                <w:rFonts w:ascii="Aptos" w:hAnsi="Aptos"/>
                <w:b/>
                <w:color w:val="7669A8"/>
                <w:sz w:val="20"/>
              </w:rPr>
              <w:t xml:space="preserve">Important  </w:t>
            </w:r>
            <w:r>
              <w:rPr>
                <w:rFonts w:ascii="Aptos" w:hAnsi="Aptos"/>
                <w:color w:val="27343D"/>
                <w:sz w:val="20"/>
              </w:rPr>
              <w:t>Class multipliers change the soft-voting prediction but do not change the raw within-model rankings used as confidence evidence. This allows the confidence layer to detect when the adjusted soft-vote winner is not supported by the independent model rankings.</w:t>
            </w:r>
          </w:p>
        </w:tc>
      </w:tr>
    </w:tbl>
    <w:p w14:paraId="4FE87221">
      <w:pPr>
        <w:spacing w:after="0"/>
      </w:pPr>
    </w:p>
    <w:p w14:paraId="2CFDFBD9">
      <w:r>
        <w:br w:type="page"/>
      </w:r>
    </w:p>
    <w:p w14:paraId="5EBE3531">
      <w:pPr>
        <w:pStyle w:val="2"/>
        <w:keepNext/>
      </w:pPr>
      <w:r>
        <w:t>10. Confidence methodology: rank support + OOF class reliability</w:t>
      </w:r>
    </w:p>
    <w:p w14:paraId="61F20C9E">
      <w:pPr>
        <w:pStyle w:val="13"/>
      </w:pPr>
      <w:r>
        <w:t>The confidence system is intentionally simpler than the prediction system. Soft voting chooses the final class. Confidence does not choose another class; it only measures how trustworthy the soft-voting result appears. The implemented method combines two independent questions: (A) do the selected models consistently rank this parcel’s predicted class near the top, and (B) when the ensemble predicts this class in leakage-safe OOF data, how often is it correct?</w:t>
      </w:r>
    </w:p>
    <w:p w14:paraId="0DFC6430">
      <w:pPr>
        <w:pStyle w:val="13"/>
      </w:pPr>
      <w:r>
        <w:t>The proposed confidence framework combines established concepts from rank-based classifier aggregation and class-wise empirical reliability. Borda-based rank aggregation and ensemble agreement have previously been used for classifier combination and uncertainty assessment; however, the present implementation uses these concepts specifically as an auxiliary confidence layer over a soft-voting classifier and constrains parcel-level rank confidence using out-of-fold class-specific precision.</w:t>
      </w:r>
    </w:p>
    <w:p w14:paraId="433B3955">
      <w:pPr>
        <w:jc w:val="center"/>
      </w:pPr>
      <w:r>
        <w:drawing>
          <wp:inline distT="0" distB="0" distL="114300" distR="114300">
            <wp:extent cx="6309360" cy="3604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6309360" cy="3605349"/>
                    </a:xfrm>
                    <a:prstGeom prst="rect">
                      <a:avLst/>
                    </a:prstGeom>
                  </pic:spPr>
                </pic:pic>
              </a:graphicData>
            </a:graphic>
          </wp:inline>
        </w:drawing>
      </w:r>
    </w:p>
    <w:p w14:paraId="39A4DC86">
      <w:pPr>
        <w:jc w:val="center"/>
      </w:pPr>
      <w:r>
        <w:t>Figure 6. Confidence uses two simple components: parcel rank support and frozen OOF precision of the predicted class.</w:t>
      </w:r>
    </w:p>
    <w:p w14:paraId="34690B1D">
      <w:pPr>
        <w:pStyle w:val="3"/>
      </w:pPr>
      <w:r>
        <w:t>10.1 The two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D82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7CF0A24">
            <w:pPr>
              <w:spacing w:after="0" w:line="240" w:lineRule="auto"/>
            </w:pPr>
            <w:r>
              <w:rPr>
                <w:b/>
              </w:rPr>
              <w:t>Component</w:t>
            </w:r>
          </w:p>
        </w:tc>
        <w:tc>
          <w:tcPr>
            <w:tcW w:w="3360" w:type="dxa"/>
            <w:vAlign w:val="center"/>
          </w:tcPr>
          <w:p w14:paraId="10A6395E">
            <w:pPr>
              <w:spacing w:after="0" w:line="240" w:lineRule="auto"/>
            </w:pPr>
            <w:r>
              <w:rPr>
                <w:b/>
              </w:rPr>
              <w:t>Question answered</w:t>
            </w:r>
          </w:p>
        </w:tc>
        <w:tc>
          <w:tcPr>
            <w:tcW w:w="3360" w:type="dxa"/>
            <w:vAlign w:val="center"/>
          </w:tcPr>
          <w:p w14:paraId="06488A7B">
            <w:pPr>
              <w:spacing w:after="0" w:line="240" w:lineRule="auto"/>
            </w:pPr>
            <w:r>
              <w:rPr>
                <w:b/>
              </w:rPr>
              <w:t>Where it comes from</w:t>
            </w:r>
          </w:p>
        </w:tc>
      </w:tr>
      <w:tr w14:paraId="4AF5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0EFF3BD">
            <w:pPr>
              <w:spacing w:after="0" w:line="240" w:lineRule="auto"/>
            </w:pPr>
            <w:r>
              <w:t>Parcel rank confidence</w:t>
            </w:r>
          </w:p>
        </w:tc>
        <w:tc>
          <w:tcPr>
            <w:tcW w:w="3360" w:type="dxa"/>
            <w:vAlign w:val="center"/>
          </w:tcPr>
          <w:p w14:paraId="437E59E4">
            <w:pPr>
              <w:spacing w:after="0" w:line="240" w:lineRule="auto"/>
            </w:pPr>
            <w:r>
              <w:t>Do the selected models consistently support this parcel’s final soft-voting class?</w:t>
            </w:r>
          </w:p>
        </w:tc>
        <w:tc>
          <w:tcPr>
            <w:tcW w:w="3360" w:type="dxa"/>
            <w:vAlign w:val="center"/>
          </w:tcPr>
          <w:p w14:paraId="76B7F47B">
            <w:pPr>
              <w:spacing w:after="0" w:line="240" w:lineRule="auto"/>
            </w:pPr>
            <w:r>
              <w:t>Raw probability ordering of the selected models for the parcel.</w:t>
            </w:r>
          </w:p>
        </w:tc>
      </w:tr>
      <w:tr w14:paraId="7639E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4E6038C">
            <w:pPr>
              <w:spacing w:after="0" w:line="240" w:lineRule="auto"/>
            </w:pPr>
            <w:r>
              <w:t>Class reliability</w:t>
            </w:r>
          </w:p>
        </w:tc>
        <w:tc>
          <w:tcPr>
            <w:tcW w:w="3360" w:type="dxa"/>
            <w:vAlign w:val="center"/>
          </w:tcPr>
          <w:p w14:paraId="23EC497B">
            <w:pPr>
              <w:spacing w:after="0" w:line="240" w:lineRule="auto"/>
            </w:pPr>
            <w:r>
              <w:t>When OOF soft voting predicts this class, how often is that class prediction correct?</w:t>
            </w:r>
          </w:p>
        </w:tc>
        <w:tc>
          <w:tcPr>
            <w:tcW w:w="3360" w:type="dxa"/>
            <w:vAlign w:val="center"/>
          </w:tcPr>
          <w:p w14:paraId="7386F50E">
            <w:pPr>
              <w:spacing w:after="0" w:line="240" w:lineRule="auto"/>
            </w:pPr>
            <w:r>
              <w:t>OOF predictions from the training partition only.</w:t>
            </w:r>
          </w:p>
        </w:tc>
      </w:tr>
      <w:tr w14:paraId="6AC6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8A25E60">
            <w:pPr>
              <w:spacing w:after="0" w:line="240" w:lineRule="auto"/>
            </w:pPr>
            <w:r>
              <w:t>Final confidence</w:t>
            </w:r>
          </w:p>
        </w:tc>
        <w:tc>
          <w:tcPr>
            <w:tcW w:w="3360" w:type="dxa"/>
            <w:vAlign w:val="center"/>
          </w:tcPr>
          <w:p w14:paraId="449D6966">
            <w:pPr>
              <w:spacing w:after="0" w:line="240" w:lineRule="auto"/>
            </w:pPr>
            <w:r>
              <w:t>What is the safer of the two conclusions?</w:t>
            </w:r>
          </w:p>
        </w:tc>
        <w:tc>
          <w:tcPr>
            <w:tcW w:w="3360" w:type="dxa"/>
            <w:vAlign w:val="center"/>
          </w:tcPr>
          <w:p w14:paraId="6C1318F8">
            <w:pPr>
              <w:spacing w:after="0" w:line="240" w:lineRule="auto"/>
            </w:pPr>
            <w:r>
              <w:t>The lower of parcel rank confidence and class reliability.</w:t>
            </w:r>
          </w:p>
        </w:tc>
      </w:tr>
    </w:tbl>
    <w:p w14:paraId="0E3087B8">
      <w:pPr>
        <w:pStyle w:val="13"/>
      </w:pPr>
      <w:r>
        <w:t>This separation is important. Models may agree strongly and still share the same systematic mistake for a difficult class. Conversely, a generally reliable class can still receive LOW confidence for a particular parcel when the models disagree.</w:t>
      </w:r>
    </w:p>
    <w:p w14:paraId="7C7E250E">
      <w:pPr>
        <w:pStyle w:val="3"/>
      </w:pPr>
      <w:r>
        <w:t>10.2 Part 1 — calculate parcel rank confidence</w:t>
      </w:r>
    </w:p>
    <w:p w14:paraId="018A2F1D">
      <w:pPr>
        <w:pStyle w:val="13"/>
      </w:pPr>
      <w:r>
        <w:t>First, soft voting determines the final class. Then the pipeline looks back at each selected model separately and asks where that final class appeared in that model’s own probability ranking. Rank 1 means the model placed the class first, rank 2 means second, and so on. The absolute probability values are not compared between models. Probability ties use average ranks.</w:t>
      </w:r>
    </w:p>
    <w:p w14:paraId="4F82E47C">
      <w:pPr>
        <w:pStyle w:val="4"/>
      </w:pPr>
      <w:r>
        <w:t>Worked example — five models, 20 classes</w:t>
      </w:r>
    </w:p>
    <w:p w14:paraId="3EAC3196">
      <w:pPr>
        <w:pStyle w:val="13"/>
      </w:pPr>
      <w:r>
        <w:t>Assume soft voting predicts Wheat. The five selected models place Wheat at ranks [1, 1, 2, 1, 2]. The pipeline converts each rank to a 0–100 Borda score using:</w:t>
      </w:r>
    </w:p>
    <w:p w14:paraId="188FA610">
      <w:pPr>
        <w:jc w:val="center"/>
      </w:pPr>
      <w:r>
        <w:t>Borda = 100 × (K − rank) / (K − 1)</w:t>
      </w:r>
    </w:p>
    <w:p w14:paraId="604B0676">
      <w:pPr>
        <w:pStyle w:val="13"/>
      </w:pPr>
      <w:r>
        <w:t>where K is the number of classes. With K = 20, rank 1 becomes 100.00 and rank 2 becomes 94.74.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4195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71CD8961">
            <w:pPr>
              <w:spacing w:after="0" w:line="240" w:lineRule="auto"/>
            </w:pPr>
            <w:r>
              <w:rPr>
                <w:b/>
              </w:rPr>
              <w:t>Model</w:t>
            </w:r>
          </w:p>
        </w:tc>
        <w:tc>
          <w:tcPr>
            <w:tcW w:w="1680" w:type="dxa"/>
            <w:vAlign w:val="center"/>
          </w:tcPr>
          <w:p w14:paraId="2397A68F">
            <w:pPr>
              <w:spacing w:after="0" w:line="240" w:lineRule="auto"/>
            </w:pPr>
            <w:r>
              <w:rPr>
                <w:b/>
              </w:rPr>
              <w:t>M1</w:t>
            </w:r>
          </w:p>
        </w:tc>
        <w:tc>
          <w:tcPr>
            <w:tcW w:w="1680" w:type="dxa"/>
            <w:vAlign w:val="center"/>
          </w:tcPr>
          <w:p w14:paraId="048AF944">
            <w:pPr>
              <w:spacing w:after="0" w:line="240" w:lineRule="auto"/>
            </w:pPr>
            <w:r>
              <w:rPr>
                <w:b/>
              </w:rPr>
              <w:t>M2</w:t>
            </w:r>
          </w:p>
        </w:tc>
        <w:tc>
          <w:tcPr>
            <w:tcW w:w="1680" w:type="dxa"/>
            <w:vAlign w:val="center"/>
          </w:tcPr>
          <w:p w14:paraId="1DE157DA">
            <w:pPr>
              <w:spacing w:after="0" w:line="240" w:lineRule="auto"/>
            </w:pPr>
            <w:r>
              <w:rPr>
                <w:b/>
              </w:rPr>
              <w:t>M3</w:t>
            </w:r>
          </w:p>
        </w:tc>
        <w:tc>
          <w:tcPr>
            <w:tcW w:w="1680" w:type="dxa"/>
            <w:vAlign w:val="center"/>
          </w:tcPr>
          <w:p w14:paraId="0DB81D0D">
            <w:pPr>
              <w:spacing w:after="0" w:line="240" w:lineRule="auto"/>
            </w:pPr>
            <w:r>
              <w:rPr>
                <w:b/>
              </w:rPr>
              <w:t>M4</w:t>
            </w:r>
          </w:p>
        </w:tc>
        <w:tc>
          <w:tcPr>
            <w:tcW w:w="1680" w:type="dxa"/>
            <w:vAlign w:val="center"/>
          </w:tcPr>
          <w:p w14:paraId="72F45B59">
            <w:pPr>
              <w:spacing w:after="0" w:line="240" w:lineRule="auto"/>
            </w:pPr>
            <w:r>
              <w:rPr>
                <w:b/>
              </w:rPr>
              <w:t>M5</w:t>
            </w:r>
          </w:p>
        </w:tc>
      </w:tr>
      <w:tr w14:paraId="55429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0D4EBA2E">
            <w:pPr>
              <w:spacing w:after="0" w:line="240" w:lineRule="auto"/>
            </w:pPr>
            <w:r>
              <w:t>Rank of Wheat</w:t>
            </w:r>
          </w:p>
        </w:tc>
        <w:tc>
          <w:tcPr>
            <w:tcW w:w="1680" w:type="dxa"/>
            <w:vAlign w:val="center"/>
          </w:tcPr>
          <w:p w14:paraId="61685AF2">
            <w:pPr>
              <w:spacing w:after="0" w:line="240" w:lineRule="auto"/>
            </w:pPr>
            <w:r>
              <w:t>1</w:t>
            </w:r>
          </w:p>
        </w:tc>
        <w:tc>
          <w:tcPr>
            <w:tcW w:w="1680" w:type="dxa"/>
            <w:vAlign w:val="center"/>
          </w:tcPr>
          <w:p w14:paraId="2D492C6E">
            <w:pPr>
              <w:spacing w:after="0" w:line="240" w:lineRule="auto"/>
            </w:pPr>
            <w:r>
              <w:t>1</w:t>
            </w:r>
          </w:p>
        </w:tc>
        <w:tc>
          <w:tcPr>
            <w:tcW w:w="1680" w:type="dxa"/>
            <w:vAlign w:val="center"/>
          </w:tcPr>
          <w:p w14:paraId="604D2F0E">
            <w:pPr>
              <w:spacing w:after="0" w:line="240" w:lineRule="auto"/>
            </w:pPr>
            <w:r>
              <w:t>2</w:t>
            </w:r>
          </w:p>
        </w:tc>
        <w:tc>
          <w:tcPr>
            <w:tcW w:w="1680" w:type="dxa"/>
            <w:vAlign w:val="center"/>
          </w:tcPr>
          <w:p w14:paraId="6BFBB039">
            <w:pPr>
              <w:spacing w:after="0" w:line="240" w:lineRule="auto"/>
            </w:pPr>
            <w:r>
              <w:t>1</w:t>
            </w:r>
          </w:p>
        </w:tc>
        <w:tc>
          <w:tcPr>
            <w:tcW w:w="1680" w:type="dxa"/>
            <w:vAlign w:val="center"/>
          </w:tcPr>
          <w:p w14:paraId="0AACEFA8">
            <w:pPr>
              <w:spacing w:after="0" w:line="240" w:lineRule="auto"/>
            </w:pPr>
            <w:r>
              <w:t>2</w:t>
            </w:r>
          </w:p>
        </w:tc>
      </w:tr>
      <w:tr w14:paraId="1566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2178945D">
            <w:pPr>
              <w:spacing w:after="0" w:line="240" w:lineRule="auto"/>
            </w:pPr>
            <w:r>
              <w:t>Borda score</w:t>
            </w:r>
          </w:p>
        </w:tc>
        <w:tc>
          <w:tcPr>
            <w:tcW w:w="1680" w:type="dxa"/>
            <w:vAlign w:val="center"/>
          </w:tcPr>
          <w:p w14:paraId="1249B601">
            <w:pPr>
              <w:spacing w:after="0" w:line="240" w:lineRule="auto"/>
            </w:pPr>
            <w:r>
              <w:t>100.00</w:t>
            </w:r>
          </w:p>
        </w:tc>
        <w:tc>
          <w:tcPr>
            <w:tcW w:w="1680" w:type="dxa"/>
            <w:vAlign w:val="center"/>
          </w:tcPr>
          <w:p w14:paraId="3786330F">
            <w:pPr>
              <w:spacing w:after="0" w:line="240" w:lineRule="auto"/>
            </w:pPr>
            <w:r>
              <w:t>100.00</w:t>
            </w:r>
          </w:p>
        </w:tc>
        <w:tc>
          <w:tcPr>
            <w:tcW w:w="1680" w:type="dxa"/>
            <w:vAlign w:val="center"/>
          </w:tcPr>
          <w:p w14:paraId="55D3082C">
            <w:pPr>
              <w:spacing w:after="0" w:line="240" w:lineRule="auto"/>
            </w:pPr>
            <w:r>
              <w:t>94.74</w:t>
            </w:r>
          </w:p>
        </w:tc>
        <w:tc>
          <w:tcPr>
            <w:tcW w:w="1680" w:type="dxa"/>
            <w:vAlign w:val="center"/>
          </w:tcPr>
          <w:p w14:paraId="44115145">
            <w:pPr>
              <w:spacing w:after="0" w:line="240" w:lineRule="auto"/>
            </w:pPr>
            <w:r>
              <w:t>100.00</w:t>
            </w:r>
          </w:p>
        </w:tc>
        <w:tc>
          <w:tcPr>
            <w:tcW w:w="1680" w:type="dxa"/>
            <w:vAlign w:val="center"/>
          </w:tcPr>
          <w:p w14:paraId="70FB1CD5">
            <w:pPr>
              <w:spacing w:after="0" w:line="240" w:lineRule="auto"/>
            </w:pPr>
            <w:r>
              <w:t>94.74</w:t>
            </w:r>
          </w:p>
        </w:tc>
      </w:tr>
    </w:tbl>
    <w:p w14:paraId="32D12069">
      <w:pPr>
        <w:pStyle w:val="13"/>
      </w:pPr>
      <w:r>
        <w:t>Mean Borda = (100 + 100 + 94.74 + 100 + 94.74) / 5 = 97.89. Rank range = highest rank − lowest rank = 2 − 1 = 1. The pipeline also calculates the Borda winner across all classes. If Wheat has the highest aggregate Borda score, then the independent rank winner agrees with the soft-voting prediction.</w:t>
      </w:r>
    </w:p>
    <w:p w14:paraId="372B0F83">
      <w:pPr>
        <w:pStyle w:val="3"/>
      </w:pPr>
      <w:r>
        <w:t>10.3 Rank-confidence rules implemented in the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CFC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140089E">
            <w:pPr>
              <w:spacing w:after="0" w:line="240" w:lineRule="auto"/>
            </w:pPr>
            <w:r>
              <w:rPr>
                <w:b/>
              </w:rPr>
              <w:t>Rank confidence</w:t>
            </w:r>
          </w:p>
        </w:tc>
        <w:tc>
          <w:tcPr>
            <w:tcW w:w="5040" w:type="dxa"/>
            <w:vAlign w:val="center"/>
          </w:tcPr>
          <w:p w14:paraId="34A3315F">
            <w:pPr>
              <w:spacing w:after="0" w:line="240" w:lineRule="auto"/>
            </w:pPr>
            <w:r>
              <w:rPr>
                <w:b/>
              </w:rPr>
              <w:t>Default rule</w:t>
            </w:r>
          </w:p>
        </w:tc>
      </w:tr>
      <w:tr w14:paraId="1423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5362E5">
            <w:pPr>
              <w:spacing w:after="0" w:line="240" w:lineRule="auto"/>
            </w:pPr>
            <w:r>
              <w:t>HIGH</w:t>
            </w:r>
          </w:p>
        </w:tc>
        <w:tc>
          <w:tcPr>
            <w:tcW w:w="5040" w:type="dxa"/>
            <w:vAlign w:val="center"/>
          </w:tcPr>
          <w:p w14:paraId="176CC21C">
            <w:pPr>
              <w:spacing w:after="0" w:line="240" w:lineRule="auto"/>
            </w:pPr>
            <w:r>
              <w:t>At least 3 models; soft-vote class = Borda winner; Borda winner is not tied; mean Borda ≥ 90; rank range ≤ 2.</w:t>
            </w:r>
          </w:p>
        </w:tc>
      </w:tr>
      <w:tr w14:paraId="61BF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D185D9">
            <w:pPr>
              <w:spacing w:after="0" w:line="240" w:lineRule="auto"/>
            </w:pPr>
            <w:r>
              <w:t>MEDIUM</w:t>
            </w:r>
          </w:p>
        </w:tc>
        <w:tc>
          <w:tcPr>
            <w:tcW w:w="5040" w:type="dxa"/>
            <w:vAlign w:val="center"/>
          </w:tcPr>
          <w:p w14:paraId="22FF8CA6">
            <w:pPr>
              <w:spacing w:after="0" w:line="240" w:lineRule="auto"/>
            </w:pPr>
            <w:r>
              <w:t>Not HIGH, but at least 3 models; soft-vote class = Borda winner; no Borda tie; mean Borda ≥ 75; rank range ≤ 4.</w:t>
            </w:r>
          </w:p>
        </w:tc>
      </w:tr>
      <w:tr w14:paraId="5FB3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D146093">
            <w:pPr>
              <w:spacing w:after="0" w:line="240" w:lineRule="auto"/>
            </w:pPr>
            <w:r>
              <w:t>LOW</w:t>
            </w:r>
          </w:p>
        </w:tc>
        <w:tc>
          <w:tcPr>
            <w:tcW w:w="5040" w:type="dxa"/>
            <w:vAlign w:val="center"/>
          </w:tcPr>
          <w:p w14:paraId="754CF4EE">
            <w:pPr>
              <w:spacing w:after="0" w:line="240" w:lineRule="auto"/>
            </w:pPr>
            <w:r>
              <w:t>Everything else, including soft-vote/Borda disagreement, Borda tie, weak Borda support, large rank range, or too few models.</w:t>
            </w:r>
          </w:p>
        </w:tc>
      </w:tr>
    </w:tbl>
    <w:p w14:paraId="69E48B40">
      <w:pPr>
        <w:pStyle w:val="13"/>
      </w:pPr>
      <w:r>
        <w:t>For the Wheat example above, mean Borda = 97.89, rank range = 1, and the Borda winner agrees with Wheat. Therefore the parcel rank confidence is HIGH.</w:t>
      </w:r>
    </w:p>
    <w:p w14:paraId="2DEC9FD7">
      <w:pPr>
        <w:pStyle w:val="13"/>
      </w:pPr>
      <w:r>
        <w:t>Why the range matters: [1, 1, 2, 1, 2] shows stable support. A pattern such as [1, 1, 2, 6, 8] may still have some first-place votes, but its large range shows strong disagreement between models and will be downgraded.</w:t>
      </w:r>
    </w:p>
    <w:p w14:paraId="3D2D299F">
      <w:pPr>
        <w:pStyle w:val="3"/>
      </w:pPr>
      <w:r>
        <w:t>10.4 Part 2 — calculate class reliability from OOF precision</w:t>
      </w:r>
    </w:p>
    <w:p w14:paraId="534E36A9">
      <w:pPr>
        <w:pStyle w:val="13"/>
      </w:pPr>
      <w:r>
        <w:t>Parcel rank confidence alone cannot detect a systematic class problem. If all selected models learned the same confusion, they may unanimously rank the wrong class first. The second component therefore uses one simple statistic per predicted class: OOF precision.</w:t>
      </w:r>
    </w:p>
    <w:p w14:paraId="1F6F5EDE">
      <w:pPr>
        <w:jc w:val="center"/>
      </w:pPr>
      <w:r>
        <w:t>OOF precision(class c) = correct OOF predictions of c / all OOF predictions of c</w:t>
      </w:r>
    </w:p>
    <w:p w14:paraId="4E2906F4">
      <w:pPr>
        <w:pStyle w:val="13"/>
      </w:pPr>
      <w:r>
        <w:t>OOF means that each training parcel is predicted by a model fold that did not train on that parcel. The precision therefore estimates how trustworthy a prediction of that class was on unseen training-fold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5B91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554C953">
            <w:pPr>
              <w:spacing w:after="0" w:line="240" w:lineRule="auto"/>
            </w:pPr>
            <w:r>
              <w:rPr>
                <w:b/>
              </w:rPr>
              <w:t>Example class</w:t>
            </w:r>
          </w:p>
        </w:tc>
        <w:tc>
          <w:tcPr>
            <w:tcW w:w="2016" w:type="dxa"/>
            <w:vAlign w:val="center"/>
          </w:tcPr>
          <w:p w14:paraId="2CD83E30">
            <w:pPr>
              <w:spacing w:after="0" w:line="240" w:lineRule="auto"/>
            </w:pPr>
            <w:r>
              <w:rPr>
                <w:b/>
              </w:rPr>
              <w:t>OOF predicted as class</w:t>
            </w:r>
          </w:p>
        </w:tc>
        <w:tc>
          <w:tcPr>
            <w:tcW w:w="2016" w:type="dxa"/>
            <w:vAlign w:val="center"/>
          </w:tcPr>
          <w:p w14:paraId="2C6E6DEC">
            <w:pPr>
              <w:spacing w:after="0" w:line="240" w:lineRule="auto"/>
            </w:pPr>
            <w:r>
              <w:rPr>
                <w:b/>
              </w:rPr>
              <w:t>Actually correct</w:t>
            </w:r>
          </w:p>
        </w:tc>
        <w:tc>
          <w:tcPr>
            <w:tcW w:w="2016" w:type="dxa"/>
            <w:vAlign w:val="center"/>
          </w:tcPr>
          <w:p w14:paraId="31900CC8">
            <w:pPr>
              <w:spacing w:after="0" w:line="240" w:lineRule="auto"/>
            </w:pPr>
            <w:r>
              <w:rPr>
                <w:b/>
              </w:rPr>
              <w:t>OOF precision</w:t>
            </w:r>
          </w:p>
        </w:tc>
        <w:tc>
          <w:tcPr>
            <w:tcW w:w="2016" w:type="dxa"/>
            <w:vAlign w:val="center"/>
          </w:tcPr>
          <w:p w14:paraId="6648AAF0">
            <w:pPr>
              <w:spacing w:after="0" w:line="240" w:lineRule="auto"/>
            </w:pPr>
            <w:r>
              <w:rPr>
                <w:b/>
              </w:rPr>
              <w:t>Default class reliability</w:t>
            </w:r>
          </w:p>
        </w:tc>
      </w:tr>
      <w:tr w14:paraId="76C0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1DF7E1">
            <w:pPr>
              <w:spacing w:after="0" w:line="240" w:lineRule="auto"/>
            </w:pPr>
            <w:r>
              <w:t>119</w:t>
            </w:r>
          </w:p>
        </w:tc>
        <w:tc>
          <w:tcPr>
            <w:tcW w:w="2016" w:type="dxa"/>
            <w:vAlign w:val="center"/>
          </w:tcPr>
          <w:p w14:paraId="74CADE0C">
            <w:pPr>
              <w:spacing w:after="0" w:line="240" w:lineRule="auto"/>
            </w:pPr>
            <w:r>
              <w:t>1,000</w:t>
            </w:r>
          </w:p>
        </w:tc>
        <w:tc>
          <w:tcPr>
            <w:tcW w:w="2016" w:type="dxa"/>
            <w:vAlign w:val="center"/>
          </w:tcPr>
          <w:p w14:paraId="77ACCE44">
            <w:pPr>
              <w:spacing w:after="0" w:line="240" w:lineRule="auto"/>
            </w:pPr>
            <w:r>
              <w:t>870</w:t>
            </w:r>
          </w:p>
        </w:tc>
        <w:tc>
          <w:tcPr>
            <w:tcW w:w="2016" w:type="dxa"/>
            <w:vAlign w:val="center"/>
          </w:tcPr>
          <w:p w14:paraId="5EC8318F">
            <w:pPr>
              <w:spacing w:after="0" w:line="240" w:lineRule="auto"/>
            </w:pPr>
            <w:r>
              <w:t>0.87 (87%)</w:t>
            </w:r>
          </w:p>
        </w:tc>
        <w:tc>
          <w:tcPr>
            <w:tcW w:w="2016" w:type="dxa"/>
            <w:vAlign w:val="center"/>
          </w:tcPr>
          <w:p w14:paraId="5649E453">
            <w:pPr>
              <w:spacing w:after="0" w:line="240" w:lineRule="auto"/>
            </w:pPr>
            <w:r>
              <w:t>HIGH</w:t>
            </w:r>
          </w:p>
        </w:tc>
      </w:tr>
      <w:tr w14:paraId="58EC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FA349BB">
            <w:pPr>
              <w:spacing w:after="0" w:line="240" w:lineRule="auto"/>
            </w:pPr>
            <w:r>
              <w:t>111</w:t>
            </w:r>
          </w:p>
        </w:tc>
        <w:tc>
          <w:tcPr>
            <w:tcW w:w="2016" w:type="dxa"/>
            <w:vAlign w:val="center"/>
          </w:tcPr>
          <w:p w14:paraId="3192805C">
            <w:pPr>
              <w:spacing w:after="0" w:line="240" w:lineRule="auto"/>
            </w:pPr>
            <w:r>
              <w:t>1,000</w:t>
            </w:r>
          </w:p>
        </w:tc>
        <w:tc>
          <w:tcPr>
            <w:tcW w:w="2016" w:type="dxa"/>
            <w:vAlign w:val="center"/>
          </w:tcPr>
          <w:p w14:paraId="698764E5">
            <w:pPr>
              <w:spacing w:after="0" w:line="240" w:lineRule="auto"/>
            </w:pPr>
            <w:r>
              <w:t>720</w:t>
            </w:r>
          </w:p>
        </w:tc>
        <w:tc>
          <w:tcPr>
            <w:tcW w:w="2016" w:type="dxa"/>
            <w:vAlign w:val="center"/>
          </w:tcPr>
          <w:p w14:paraId="7BF71AFE">
            <w:pPr>
              <w:spacing w:after="0" w:line="240" w:lineRule="auto"/>
            </w:pPr>
            <w:r>
              <w:t>0.72 (72%)</w:t>
            </w:r>
          </w:p>
        </w:tc>
        <w:tc>
          <w:tcPr>
            <w:tcW w:w="2016" w:type="dxa"/>
            <w:vAlign w:val="center"/>
          </w:tcPr>
          <w:p w14:paraId="49EECEC8">
            <w:pPr>
              <w:spacing w:after="0" w:line="240" w:lineRule="auto"/>
            </w:pPr>
            <w:r>
              <w:t>MEDIUM</w:t>
            </w:r>
          </w:p>
        </w:tc>
      </w:tr>
      <w:tr w14:paraId="40B6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434A216">
            <w:pPr>
              <w:spacing w:after="0" w:line="240" w:lineRule="auto"/>
            </w:pPr>
            <w:r>
              <w:t>129</w:t>
            </w:r>
          </w:p>
        </w:tc>
        <w:tc>
          <w:tcPr>
            <w:tcW w:w="2016" w:type="dxa"/>
            <w:vAlign w:val="center"/>
          </w:tcPr>
          <w:p w14:paraId="032C6431">
            <w:pPr>
              <w:spacing w:after="0" w:line="240" w:lineRule="auto"/>
            </w:pPr>
            <w:r>
              <w:t>1,000</w:t>
            </w:r>
          </w:p>
        </w:tc>
        <w:tc>
          <w:tcPr>
            <w:tcW w:w="2016" w:type="dxa"/>
            <w:vAlign w:val="center"/>
          </w:tcPr>
          <w:p w14:paraId="53132F25">
            <w:pPr>
              <w:spacing w:after="0" w:line="240" w:lineRule="auto"/>
            </w:pPr>
            <w:r>
              <w:t>240</w:t>
            </w:r>
          </w:p>
        </w:tc>
        <w:tc>
          <w:tcPr>
            <w:tcW w:w="2016" w:type="dxa"/>
            <w:vAlign w:val="center"/>
          </w:tcPr>
          <w:p w14:paraId="5C6F6AA9">
            <w:pPr>
              <w:spacing w:after="0" w:line="240" w:lineRule="auto"/>
            </w:pPr>
            <w:r>
              <w:t>0.24 (24%)</w:t>
            </w:r>
          </w:p>
        </w:tc>
        <w:tc>
          <w:tcPr>
            <w:tcW w:w="2016" w:type="dxa"/>
            <w:vAlign w:val="center"/>
          </w:tcPr>
          <w:p w14:paraId="5B97346E">
            <w:pPr>
              <w:spacing w:after="0" w:line="240" w:lineRule="auto"/>
            </w:pPr>
            <w:r>
              <w:t>LOW</w:t>
            </w:r>
          </w:p>
        </w:tc>
      </w:tr>
    </w:tbl>
    <w:p w14:paraId="6FC3194A">
      <w:pPr>
        <w:pStyle w:val="13"/>
      </w:pPr>
      <w:r>
        <w:t>The implemented default mapping 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E32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0AA9FEE">
            <w:pPr>
              <w:spacing w:after="0" w:line="240" w:lineRule="auto"/>
            </w:pPr>
            <w:r>
              <w:rPr>
                <w:b/>
              </w:rPr>
              <w:t>Class reliability</w:t>
            </w:r>
          </w:p>
        </w:tc>
        <w:tc>
          <w:tcPr>
            <w:tcW w:w="5040" w:type="dxa"/>
            <w:vAlign w:val="center"/>
          </w:tcPr>
          <w:p w14:paraId="5811A151">
            <w:pPr>
              <w:spacing w:after="0" w:line="240" w:lineRule="auto"/>
            </w:pPr>
            <w:r>
              <w:rPr>
                <w:b/>
              </w:rPr>
              <w:t>Default rule</w:t>
            </w:r>
          </w:p>
        </w:tc>
      </w:tr>
      <w:tr w14:paraId="464A5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A1C279D">
            <w:pPr>
              <w:spacing w:after="0" w:line="240" w:lineRule="auto"/>
            </w:pPr>
            <w:r>
              <w:t>HIGH</w:t>
            </w:r>
          </w:p>
        </w:tc>
        <w:tc>
          <w:tcPr>
            <w:tcW w:w="5040" w:type="dxa"/>
            <w:vAlign w:val="center"/>
          </w:tcPr>
          <w:p w14:paraId="4535B1E8">
            <w:pPr>
              <w:spacing w:after="0" w:line="240" w:lineRule="auto"/>
            </w:pPr>
            <w:r>
              <w:t>OOF support ≥ 100 and precision ≥ 0.80.</w:t>
            </w:r>
          </w:p>
        </w:tc>
      </w:tr>
      <w:tr w14:paraId="7FED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19B7AF">
            <w:pPr>
              <w:spacing w:after="0" w:line="240" w:lineRule="auto"/>
            </w:pPr>
            <w:r>
              <w:t>MEDIUM</w:t>
            </w:r>
          </w:p>
        </w:tc>
        <w:tc>
          <w:tcPr>
            <w:tcW w:w="5040" w:type="dxa"/>
            <w:vAlign w:val="center"/>
          </w:tcPr>
          <w:p w14:paraId="521E97D2">
            <w:pPr>
              <w:spacing w:after="0" w:line="240" w:lineRule="auto"/>
            </w:pPr>
            <w:r>
              <w:t>OOF support ≥ 100 and 0.60 ≤ precision &lt; 0.80.</w:t>
            </w:r>
          </w:p>
        </w:tc>
      </w:tr>
      <w:tr w14:paraId="69F7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6A8B1F4">
            <w:pPr>
              <w:spacing w:after="0" w:line="240" w:lineRule="auto"/>
            </w:pPr>
            <w:r>
              <w:t>LOW</w:t>
            </w:r>
          </w:p>
        </w:tc>
        <w:tc>
          <w:tcPr>
            <w:tcW w:w="5040" w:type="dxa"/>
            <w:vAlign w:val="center"/>
          </w:tcPr>
          <w:p w14:paraId="3908C925">
            <w:pPr>
              <w:spacing w:after="0" w:line="240" w:lineRule="auto"/>
            </w:pPr>
            <w:r>
              <w:t>OOF support ≥ 100 and precision &lt; 0.60.</w:t>
            </w:r>
          </w:p>
        </w:tc>
      </w:tr>
      <w:tr w14:paraId="31FD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0EB364">
            <w:pPr>
              <w:spacing w:after="0" w:line="240" w:lineRule="auto"/>
            </w:pPr>
            <w:r>
              <w:t>LOW + invalid</w:t>
            </w:r>
          </w:p>
        </w:tc>
        <w:tc>
          <w:tcPr>
            <w:tcW w:w="5040" w:type="dxa"/>
            <w:vAlign w:val="center"/>
          </w:tcPr>
          <w:p w14:paraId="4C6FF4A0">
            <w:pPr>
              <w:spacing w:after="0" w:line="240" w:lineRule="auto"/>
            </w:pPr>
            <w:r>
              <w:t>OOF support &lt; 100. The pipeline does not borrow evidence from another class.</w:t>
            </w:r>
          </w:p>
        </w:tc>
      </w:tr>
    </w:tbl>
    <w:p w14:paraId="07DBE243">
      <w:pPr>
        <w:pStyle w:val="13"/>
      </w:pPr>
      <w:r>
        <w:t>The support rule is important: 90% precision based on only a few examples should not be treated as equally trustworthy as 90% precision based on hundreds or thousands of OOF predictions.</w:t>
      </w:r>
    </w:p>
    <w:p w14:paraId="17415784">
      <w:pPr>
        <w:pStyle w:val="3"/>
      </w:pPr>
      <w:r>
        <w:t>10.5 Final confidence = the lower of the two levels</w:t>
      </w:r>
    </w:p>
    <w:p w14:paraId="21F9B232">
      <w:pPr>
        <w:pStyle w:val="13"/>
      </w:pPr>
      <w:r>
        <w:t>The final user-facing confidence is deliberately conservative. It is the lower of parcel rank confidence and class reliability:</w:t>
      </w:r>
    </w:p>
    <w:p w14:paraId="005CF5AE">
      <w:pPr>
        <w:jc w:val="center"/>
      </w:pPr>
      <w:r>
        <w:t>Final confidence = min(rank confidence, class reliability)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320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0BA5B56">
            <w:pPr>
              <w:spacing w:after="0" w:line="240" w:lineRule="auto"/>
            </w:pPr>
            <w:r>
              <w:rPr>
                <w:b/>
              </w:rPr>
              <w:t>Rank confidence</w:t>
            </w:r>
          </w:p>
        </w:tc>
        <w:tc>
          <w:tcPr>
            <w:tcW w:w="3360" w:type="dxa"/>
            <w:vAlign w:val="center"/>
          </w:tcPr>
          <w:p w14:paraId="01A133D7">
            <w:pPr>
              <w:spacing w:after="0" w:line="240" w:lineRule="auto"/>
            </w:pPr>
            <w:r>
              <w:rPr>
                <w:b/>
              </w:rPr>
              <w:t>Class reliability</w:t>
            </w:r>
          </w:p>
        </w:tc>
        <w:tc>
          <w:tcPr>
            <w:tcW w:w="3360" w:type="dxa"/>
            <w:vAlign w:val="center"/>
          </w:tcPr>
          <w:p w14:paraId="699D0429">
            <w:pPr>
              <w:spacing w:after="0" w:line="240" w:lineRule="auto"/>
            </w:pPr>
            <w:r>
              <w:rPr>
                <w:b/>
              </w:rPr>
              <w:t>Final confidence</w:t>
            </w:r>
          </w:p>
        </w:tc>
      </w:tr>
      <w:tr w14:paraId="23D9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5268CCD">
            <w:pPr>
              <w:spacing w:after="0" w:line="240" w:lineRule="auto"/>
            </w:pPr>
            <w:r>
              <w:t>HIGH</w:t>
            </w:r>
          </w:p>
        </w:tc>
        <w:tc>
          <w:tcPr>
            <w:tcW w:w="3360" w:type="dxa"/>
            <w:vAlign w:val="center"/>
          </w:tcPr>
          <w:p w14:paraId="4ABAF81C">
            <w:pPr>
              <w:spacing w:after="0" w:line="240" w:lineRule="auto"/>
            </w:pPr>
            <w:r>
              <w:t>HIGH</w:t>
            </w:r>
          </w:p>
        </w:tc>
        <w:tc>
          <w:tcPr>
            <w:tcW w:w="3360" w:type="dxa"/>
            <w:vAlign w:val="center"/>
          </w:tcPr>
          <w:p w14:paraId="288B7846">
            <w:pPr>
              <w:spacing w:after="0" w:line="240" w:lineRule="auto"/>
            </w:pPr>
            <w:r>
              <w:t>HIGH</w:t>
            </w:r>
          </w:p>
        </w:tc>
      </w:tr>
      <w:tr w14:paraId="6821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1B04E1">
            <w:pPr>
              <w:spacing w:after="0" w:line="240" w:lineRule="auto"/>
            </w:pPr>
            <w:r>
              <w:t>HIGH</w:t>
            </w:r>
          </w:p>
        </w:tc>
        <w:tc>
          <w:tcPr>
            <w:tcW w:w="3360" w:type="dxa"/>
            <w:vAlign w:val="center"/>
          </w:tcPr>
          <w:p w14:paraId="14D6430A">
            <w:pPr>
              <w:spacing w:after="0" w:line="240" w:lineRule="auto"/>
            </w:pPr>
            <w:r>
              <w:t>MEDIUM</w:t>
            </w:r>
          </w:p>
        </w:tc>
        <w:tc>
          <w:tcPr>
            <w:tcW w:w="3360" w:type="dxa"/>
            <w:vAlign w:val="center"/>
          </w:tcPr>
          <w:p w14:paraId="56397D09">
            <w:pPr>
              <w:spacing w:after="0" w:line="240" w:lineRule="auto"/>
            </w:pPr>
            <w:r>
              <w:t>MEDIUM</w:t>
            </w:r>
          </w:p>
        </w:tc>
      </w:tr>
      <w:tr w14:paraId="281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685F7A6">
            <w:pPr>
              <w:spacing w:after="0" w:line="240" w:lineRule="auto"/>
            </w:pPr>
            <w:r>
              <w:t>HIGH</w:t>
            </w:r>
          </w:p>
        </w:tc>
        <w:tc>
          <w:tcPr>
            <w:tcW w:w="3360" w:type="dxa"/>
            <w:vAlign w:val="center"/>
          </w:tcPr>
          <w:p w14:paraId="644BC849">
            <w:pPr>
              <w:spacing w:after="0" w:line="240" w:lineRule="auto"/>
            </w:pPr>
            <w:r>
              <w:t>LOW</w:t>
            </w:r>
          </w:p>
        </w:tc>
        <w:tc>
          <w:tcPr>
            <w:tcW w:w="3360" w:type="dxa"/>
            <w:vAlign w:val="center"/>
          </w:tcPr>
          <w:p w14:paraId="46C77198">
            <w:pPr>
              <w:spacing w:after="0" w:line="240" w:lineRule="auto"/>
            </w:pPr>
            <w:r>
              <w:t>LOW</w:t>
            </w:r>
          </w:p>
        </w:tc>
      </w:tr>
      <w:tr w14:paraId="5E7F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A36F5FF">
            <w:pPr>
              <w:spacing w:after="0" w:line="240" w:lineRule="auto"/>
            </w:pPr>
            <w:r>
              <w:t>MEDIUM</w:t>
            </w:r>
          </w:p>
        </w:tc>
        <w:tc>
          <w:tcPr>
            <w:tcW w:w="3360" w:type="dxa"/>
            <w:vAlign w:val="center"/>
          </w:tcPr>
          <w:p w14:paraId="522FC5D2">
            <w:pPr>
              <w:spacing w:after="0" w:line="240" w:lineRule="auto"/>
            </w:pPr>
            <w:r>
              <w:t>HIGH</w:t>
            </w:r>
          </w:p>
        </w:tc>
        <w:tc>
          <w:tcPr>
            <w:tcW w:w="3360" w:type="dxa"/>
            <w:vAlign w:val="center"/>
          </w:tcPr>
          <w:p w14:paraId="243C4CAF">
            <w:pPr>
              <w:spacing w:after="0" w:line="240" w:lineRule="auto"/>
            </w:pPr>
            <w:r>
              <w:t>MEDIUM</w:t>
            </w:r>
          </w:p>
        </w:tc>
      </w:tr>
      <w:tr w14:paraId="16E4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D680247">
            <w:pPr>
              <w:spacing w:after="0" w:line="240" w:lineRule="auto"/>
            </w:pPr>
            <w:r>
              <w:t>MEDIUM</w:t>
            </w:r>
          </w:p>
        </w:tc>
        <w:tc>
          <w:tcPr>
            <w:tcW w:w="3360" w:type="dxa"/>
            <w:vAlign w:val="center"/>
          </w:tcPr>
          <w:p w14:paraId="22D863DC">
            <w:pPr>
              <w:spacing w:after="0" w:line="240" w:lineRule="auto"/>
            </w:pPr>
            <w:r>
              <w:t>MEDIUM</w:t>
            </w:r>
          </w:p>
        </w:tc>
        <w:tc>
          <w:tcPr>
            <w:tcW w:w="3360" w:type="dxa"/>
            <w:vAlign w:val="center"/>
          </w:tcPr>
          <w:p w14:paraId="2736DD46">
            <w:pPr>
              <w:spacing w:after="0" w:line="240" w:lineRule="auto"/>
            </w:pPr>
            <w:r>
              <w:t>MEDIUM</w:t>
            </w:r>
          </w:p>
        </w:tc>
      </w:tr>
      <w:tr w14:paraId="1670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C87B9CE">
            <w:pPr>
              <w:spacing w:after="0" w:line="240" w:lineRule="auto"/>
            </w:pPr>
            <w:r>
              <w:t>MEDIUM</w:t>
            </w:r>
          </w:p>
        </w:tc>
        <w:tc>
          <w:tcPr>
            <w:tcW w:w="3360" w:type="dxa"/>
            <w:vAlign w:val="center"/>
          </w:tcPr>
          <w:p w14:paraId="7F15F803">
            <w:pPr>
              <w:spacing w:after="0" w:line="240" w:lineRule="auto"/>
            </w:pPr>
            <w:r>
              <w:t>LOW</w:t>
            </w:r>
          </w:p>
        </w:tc>
        <w:tc>
          <w:tcPr>
            <w:tcW w:w="3360" w:type="dxa"/>
            <w:vAlign w:val="center"/>
          </w:tcPr>
          <w:p w14:paraId="5A5FA6AC">
            <w:pPr>
              <w:spacing w:after="0" w:line="240" w:lineRule="auto"/>
            </w:pPr>
            <w:r>
              <w:t>LOW</w:t>
            </w:r>
          </w:p>
        </w:tc>
      </w:tr>
      <w:tr w14:paraId="17BF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ECDF73C">
            <w:pPr>
              <w:spacing w:after="0" w:line="240" w:lineRule="auto"/>
            </w:pPr>
            <w:r>
              <w:t>LOW</w:t>
            </w:r>
          </w:p>
        </w:tc>
        <w:tc>
          <w:tcPr>
            <w:tcW w:w="3360" w:type="dxa"/>
            <w:vAlign w:val="center"/>
          </w:tcPr>
          <w:p w14:paraId="2D81E6E7">
            <w:pPr>
              <w:spacing w:after="0" w:line="240" w:lineRule="auto"/>
            </w:pPr>
            <w:r>
              <w:t>Any level</w:t>
            </w:r>
          </w:p>
        </w:tc>
        <w:tc>
          <w:tcPr>
            <w:tcW w:w="3360" w:type="dxa"/>
            <w:vAlign w:val="center"/>
          </w:tcPr>
          <w:p w14:paraId="6A35988A">
            <w:pPr>
              <w:spacing w:after="0" w:line="240" w:lineRule="auto"/>
            </w:pPr>
            <w:r>
              <w:t>LOW</w:t>
            </w:r>
          </w:p>
        </w:tc>
      </w:tr>
    </w:tbl>
    <w:p w14:paraId="085ABA3C">
      <w:pPr>
        <w:pStyle w:val="3"/>
      </w:pPr>
      <w:r>
        <w:t>10.6 Worked examples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D738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vAlign w:val="center"/>
          </w:tcPr>
          <w:p w14:paraId="43F23A1F">
            <w:pPr>
              <w:spacing w:after="0" w:line="240" w:lineRule="auto"/>
            </w:pPr>
            <w:r>
              <w:rPr>
                <w:b/>
              </w:rPr>
              <w:t>Case</w:t>
            </w:r>
          </w:p>
        </w:tc>
        <w:tc>
          <w:tcPr>
            <w:tcW w:w="2520" w:type="dxa"/>
            <w:vAlign w:val="center"/>
          </w:tcPr>
          <w:p w14:paraId="4982689D">
            <w:pPr>
              <w:spacing w:after="0" w:line="240" w:lineRule="auto"/>
            </w:pPr>
            <w:r>
              <w:rPr>
                <w:b/>
              </w:rPr>
              <w:t>Parcel rank evidence</w:t>
            </w:r>
          </w:p>
        </w:tc>
        <w:tc>
          <w:tcPr>
            <w:tcW w:w="2520" w:type="dxa"/>
            <w:vAlign w:val="center"/>
          </w:tcPr>
          <w:p w14:paraId="470D887D">
            <w:pPr>
              <w:spacing w:after="0" w:line="240" w:lineRule="auto"/>
            </w:pPr>
            <w:r>
              <w:rPr>
                <w:b/>
              </w:rPr>
              <w:t>Class reliability</w:t>
            </w:r>
          </w:p>
        </w:tc>
        <w:tc>
          <w:tcPr>
            <w:tcW w:w="2520" w:type="dxa"/>
            <w:vAlign w:val="center"/>
          </w:tcPr>
          <w:p w14:paraId="4E25417F">
            <w:pPr>
              <w:spacing w:after="0" w:line="240" w:lineRule="auto"/>
            </w:pPr>
            <w:r>
              <w:rPr>
                <w:b/>
              </w:rPr>
              <w:t>Final result</w:t>
            </w:r>
          </w:p>
        </w:tc>
      </w:tr>
      <w:tr w14:paraId="74BE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1E0517A">
            <w:pPr>
              <w:spacing w:after="0" w:line="240" w:lineRule="auto"/>
            </w:pPr>
            <w:r>
              <w:t>A — strong parcel, reliable class</w:t>
            </w:r>
          </w:p>
        </w:tc>
        <w:tc>
          <w:tcPr>
            <w:tcW w:w="2520" w:type="dxa"/>
            <w:vAlign w:val="center"/>
          </w:tcPr>
          <w:p w14:paraId="0A0093A6">
            <w:pPr>
              <w:spacing w:after="0" w:line="240" w:lineRule="auto"/>
            </w:pPr>
            <w:r>
              <w:t>Ranks [1,1,2,1,2] → Borda 97.9, range 1, winner agrees → HIGH</w:t>
            </w:r>
          </w:p>
        </w:tc>
        <w:tc>
          <w:tcPr>
            <w:tcW w:w="2520" w:type="dxa"/>
            <w:vAlign w:val="center"/>
          </w:tcPr>
          <w:p w14:paraId="28DD2FB0">
            <w:pPr>
              <w:spacing w:after="0" w:line="240" w:lineRule="auto"/>
            </w:pPr>
            <w:r>
              <w:t>OOF precision 87%, support 1,000 → HIGH</w:t>
            </w:r>
          </w:p>
        </w:tc>
        <w:tc>
          <w:tcPr>
            <w:tcW w:w="2520" w:type="dxa"/>
            <w:vAlign w:val="center"/>
          </w:tcPr>
          <w:p w14:paraId="3CA27E6D">
            <w:pPr>
              <w:spacing w:after="0" w:line="240" w:lineRule="auto"/>
            </w:pPr>
            <w:r>
              <w:t>HIGH</w:t>
            </w:r>
          </w:p>
        </w:tc>
      </w:tr>
      <w:tr w14:paraId="4EDE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D0DDB07">
            <w:pPr>
              <w:spacing w:after="0" w:line="240" w:lineRule="auto"/>
            </w:pPr>
            <w:r>
              <w:t>B — strong parcel, difficult class</w:t>
            </w:r>
          </w:p>
        </w:tc>
        <w:tc>
          <w:tcPr>
            <w:tcW w:w="2520" w:type="dxa"/>
            <w:vAlign w:val="center"/>
          </w:tcPr>
          <w:p w14:paraId="6C19955F">
            <w:pPr>
              <w:spacing w:after="0" w:line="240" w:lineRule="auto"/>
            </w:pPr>
            <w:r>
              <w:t>Ranks [1,1,1,1,1] → Borda 100, range 0 → HIGH</w:t>
            </w:r>
          </w:p>
        </w:tc>
        <w:tc>
          <w:tcPr>
            <w:tcW w:w="2520" w:type="dxa"/>
            <w:vAlign w:val="center"/>
          </w:tcPr>
          <w:p w14:paraId="4EEA575A">
            <w:pPr>
              <w:spacing w:after="0" w:line="240" w:lineRule="auto"/>
            </w:pPr>
            <w:r>
              <w:t>OOF precision 24%, support 1,000 → LOW</w:t>
            </w:r>
          </w:p>
        </w:tc>
        <w:tc>
          <w:tcPr>
            <w:tcW w:w="2520" w:type="dxa"/>
            <w:vAlign w:val="center"/>
          </w:tcPr>
          <w:p w14:paraId="0BA1959E">
            <w:pPr>
              <w:spacing w:after="0" w:line="240" w:lineRule="auto"/>
            </w:pPr>
            <w:r>
              <w:t>LOW</w:t>
            </w:r>
          </w:p>
        </w:tc>
      </w:tr>
      <w:tr w14:paraId="3F55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5068ACE">
            <w:pPr>
              <w:spacing w:after="0" w:line="240" w:lineRule="auto"/>
            </w:pPr>
            <w:r>
              <w:t>C — moderate parcel, reliable class</w:t>
            </w:r>
          </w:p>
        </w:tc>
        <w:tc>
          <w:tcPr>
            <w:tcW w:w="2520" w:type="dxa"/>
            <w:vAlign w:val="center"/>
          </w:tcPr>
          <w:p w14:paraId="3B166283">
            <w:pPr>
              <w:spacing w:after="0" w:line="240" w:lineRule="auto"/>
            </w:pPr>
            <w:r>
              <w:t>Borda 82, range 3, winner agrees → MEDIUM</w:t>
            </w:r>
          </w:p>
        </w:tc>
        <w:tc>
          <w:tcPr>
            <w:tcW w:w="2520" w:type="dxa"/>
            <w:vAlign w:val="center"/>
          </w:tcPr>
          <w:p w14:paraId="5ECE93AA">
            <w:pPr>
              <w:spacing w:after="0" w:line="240" w:lineRule="auto"/>
            </w:pPr>
            <w:r>
              <w:t>OOF precision 91% → HIGH</w:t>
            </w:r>
          </w:p>
        </w:tc>
        <w:tc>
          <w:tcPr>
            <w:tcW w:w="2520" w:type="dxa"/>
            <w:vAlign w:val="center"/>
          </w:tcPr>
          <w:p w14:paraId="2E503ECC">
            <w:pPr>
              <w:spacing w:after="0" w:line="240" w:lineRule="auto"/>
            </w:pPr>
            <w:r>
              <w:t>MEDIUM</w:t>
            </w:r>
          </w:p>
        </w:tc>
      </w:tr>
      <w:tr w14:paraId="316C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8AFDD4B">
            <w:pPr>
              <w:spacing w:after="0" w:line="240" w:lineRule="auto"/>
            </w:pPr>
            <w:r>
              <w:t>D — voting/rank disagreement</w:t>
            </w:r>
          </w:p>
        </w:tc>
        <w:tc>
          <w:tcPr>
            <w:tcW w:w="2520" w:type="dxa"/>
            <w:vAlign w:val="center"/>
          </w:tcPr>
          <w:p w14:paraId="15899CD7">
            <w:pPr>
              <w:spacing w:after="0" w:line="240" w:lineRule="auto"/>
            </w:pPr>
            <w:r>
              <w:t>Soft voting predicts Wheat but Borda winner is Barley → LOW</w:t>
            </w:r>
          </w:p>
        </w:tc>
        <w:tc>
          <w:tcPr>
            <w:tcW w:w="2520" w:type="dxa"/>
            <w:vAlign w:val="center"/>
          </w:tcPr>
          <w:p w14:paraId="08C54A4A">
            <w:pPr>
              <w:spacing w:after="0" w:line="240" w:lineRule="auto"/>
            </w:pPr>
            <w:r>
              <w:t>Even if Wheat reliability is HIGH</w:t>
            </w:r>
          </w:p>
        </w:tc>
        <w:tc>
          <w:tcPr>
            <w:tcW w:w="2520" w:type="dxa"/>
            <w:vAlign w:val="center"/>
          </w:tcPr>
          <w:p w14:paraId="58C6C105">
            <w:pPr>
              <w:spacing w:after="0" w:line="240" w:lineRule="auto"/>
            </w:pPr>
            <w:r>
              <w:t>LOW</w:t>
            </w:r>
          </w:p>
        </w:tc>
      </w:tr>
      <w:tr w14:paraId="44A3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4F77406">
            <w:pPr>
              <w:spacing w:after="0" w:line="240" w:lineRule="auto"/>
            </w:pPr>
            <w:r>
              <w:t>E — too little class history</w:t>
            </w:r>
          </w:p>
        </w:tc>
        <w:tc>
          <w:tcPr>
            <w:tcW w:w="2520" w:type="dxa"/>
            <w:vAlign w:val="center"/>
          </w:tcPr>
          <w:p w14:paraId="7C053FCA">
            <w:pPr>
              <w:spacing w:after="0" w:line="240" w:lineRule="auto"/>
            </w:pPr>
            <w:r>
              <w:t>Parcel rank confidence HIGH</w:t>
            </w:r>
          </w:p>
        </w:tc>
        <w:tc>
          <w:tcPr>
            <w:tcW w:w="2520" w:type="dxa"/>
            <w:vAlign w:val="center"/>
          </w:tcPr>
          <w:p w14:paraId="3C84230E">
            <w:pPr>
              <w:spacing w:after="0" w:line="240" w:lineRule="auto"/>
            </w:pPr>
            <w:r>
              <w:t>Only 45 OOF predictions for the class (&lt;100) → LOW + invalid</w:t>
            </w:r>
          </w:p>
        </w:tc>
        <w:tc>
          <w:tcPr>
            <w:tcW w:w="2520" w:type="dxa"/>
            <w:vAlign w:val="center"/>
          </w:tcPr>
          <w:p w14:paraId="52651687">
            <w:pPr>
              <w:spacing w:after="0" w:line="240" w:lineRule="auto"/>
            </w:pPr>
            <w:r>
              <w:t>LOW / review</w:t>
            </w:r>
          </w:p>
        </w:tc>
      </w:tr>
    </w:tbl>
    <w:p w14:paraId="0BA8EC75">
      <w:pPr>
        <w:pStyle w:val="13"/>
      </w:pPr>
      <w:r>
        <w:t>Case B is the key reason the class-reliability guard exists: perfect model agreement is not enough when a class is historically unreliable.</w:t>
      </w:r>
    </w:p>
    <w:p w14:paraId="78260455">
      <w:pPr>
        <w:pStyle w:val="3"/>
      </w:pPr>
      <w:r>
        <w:t>10.7 How confidence is calculated at each pipeline step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47B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178DC75">
            <w:pPr>
              <w:spacing w:after="0" w:line="240" w:lineRule="auto"/>
            </w:pPr>
            <w:r>
              <w:rPr>
                <w:b/>
              </w:rPr>
              <w:t>Pipeline step</w:t>
            </w:r>
          </w:p>
        </w:tc>
        <w:tc>
          <w:tcPr>
            <w:tcW w:w="3360" w:type="dxa"/>
            <w:vAlign w:val="center"/>
          </w:tcPr>
          <w:p w14:paraId="3037DEDA">
            <w:pPr>
              <w:spacing w:after="0" w:line="240" w:lineRule="auto"/>
            </w:pPr>
            <w:r>
              <w:rPr>
                <w:b/>
              </w:rPr>
              <w:t>Confidence-related calculation</w:t>
            </w:r>
          </w:p>
        </w:tc>
        <w:tc>
          <w:tcPr>
            <w:tcW w:w="3360" w:type="dxa"/>
            <w:vAlign w:val="center"/>
          </w:tcPr>
          <w:p w14:paraId="4675A46F">
            <w:pPr>
              <w:spacing w:after="0" w:line="240" w:lineRule="auto"/>
            </w:pPr>
            <w:r>
              <w:rPr>
                <w:b/>
              </w:rPr>
              <w:t>What is saved / used later</w:t>
            </w:r>
          </w:p>
        </w:tc>
      </w:tr>
      <w:tr w14:paraId="76C8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613C036">
            <w:pPr>
              <w:spacing w:after="0" w:line="240" w:lineRule="auto"/>
            </w:pPr>
            <w:r>
              <w:t>Step 3 — TRAIN</w:t>
            </w:r>
          </w:p>
        </w:tc>
        <w:tc>
          <w:tcPr>
            <w:tcW w:w="3360" w:type="dxa"/>
            <w:vAlign w:val="center"/>
          </w:tcPr>
          <w:p w14:paraId="460FADFC">
            <w:pPr>
              <w:spacing w:after="0" w:line="240" w:lineRule="auto"/>
            </w:pPr>
            <w:r>
              <w:t>Creates member-model OOF probabilities. It does not assign the final confidence category.</w:t>
            </w:r>
          </w:p>
        </w:tc>
        <w:tc>
          <w:tcPr>
            <w:tcW w:w="3360" w:type="dxa"/>
            <w:vAlign w:val="center"/>
          </w:tcPr>
          <w:p w14:paraId="085A1BEC">
            <w:pPr>
              <w:spacing w:after="0" w:line="240" w:lineRule="auto"/>
            </w:pPr>
            <w:r>
              <w:t>OOF probabilities for each probability-capable model.</w:t>
            </w:r>
          </w:p>
        </w:tc>
      </w:tr>
      <w:tr w14:paraId="4A38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222E64">
            <w:pPr>
              <w:spacing w:after="0" w:line="240" w:lineRule="auto"/>
            </w:pPr>
            <w:r>
              <w:t>Step 4 — EVALUATE</w:t>
            </w:r>
          </w:p>
        </w:tc>
        <w:tc>
          <w:tcPr>
            <w:tcW w:w="3360" w:type="dxa"/>
            <w:vAlign w:val="center"/>
          </w:tcPr>
          <w:p w14:paraId="7897C003">
            <w:pPr>
              <w:spacing w:after="0" w:line="240" w:lineRule="auto"/>
            </w:pPr>
            <w:r>
              <w:t>Reproduces OOF soft voting, calculates OOF precision/support for every predicted class, calculates parcel rank confidence, combines the two, and freezes the contract. The holdout test only verifies it.</w:t>
            </w:r>
          </w:p>
        </w:tc>
        <w:tc>
          <w:tcPr>
            <w:tcW w:w="3360" w:type="dxa"/>
            <w:vAlign w:val="center"/>
          </w:tcPr>
          <w:p w14:paraId="376F31F3">
            <w:pPr>
              <w:spacing w:after="0" w:line="240" w:lineRule="auto"/>
            </w:pPr>
            <w:r>
              <w:t>selection_summary.json confidence contract; class_reliability_oof.csv; rank_confidence_oof/test.csv; confidence-level summaries.</w:t>
            </w:r>
          </w:p>
        </w:tc>
      </w:tr>
      <w:tr w14:paraId="053C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96DEF56">
            <w:pPr>
              <w:spacing w:after="0" w:line="240" w:lineRule="auto"/>
            </w:pPr>
            <w:r>
              <w:t>Step 5 — PREDICT</w:t>
            </w:r>
          </w:p>
        </w:tc>
        <w:tc>
          <w:tcPr>
            <w:tcW w:w="3360" w:type="dxa"/>
            <w:vAlign w:val="center"/>
          </w:tcPr>
          <w:p w14:paraId="77365D44">
            <w:pPr>
              <w:spacing w:after="0" w:line="240" w:lineRule="auto"/>
            </w:pPr>
            <w:r>
              <w:t>Refits the selected models on all labeled data, makes the soft-vote label, calculates rank confidence from raw member rankings, looks up the frozen class reliability, and takes the lower level.</w:t>
            </w:r>
          </w:p>
        </w:tc>
        <w:tc>
          <w:tcPr>
            <w:tcW w:w="3360" w:type="dxa"/>
            <w:vAlign w:val="center"/>
          </w:tcPr>
          <w:p w14:paraId="1F8AADBF">
            <w:pPr>
              <w:spacing w:after="0" w:line="240" w:lineRule="auto"/>
            </w:pPr>
            <w:r>
              <w:t>Final per-parcel HIGH / MEDIUM / LOW, reasons, diagnostics, and review flag.</w:t>
            </w:r>
          </w:p>
        </w:tc>
      </w:tr>
    </w:tbl>
    <w:p w14:paraId="7B951F0B">
      <w:pPr>
        <w:pStyle w:val="3"/>
      </w:pPr>
      <w:r>
        <w:t>10.8 Structural safeguards and reasons for 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A1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2B1E108">
            <w:pPr>
              <w:spacing w:after="0" w:line="240" w:lineRule="auto"/>
            </w:pPr>
            <w:r>
              <w:rPr>
                <w:b/>
              </w:rPr>
              <w:t>Condition</w:t>
            </w:r>
          </w:p>
        </w:tc>
        <w:tc>
          <w:tcPr>
            <w:tcW w:w="5040" w:type="dxa"/>
            <w:vAlign w:val="center"/>
          </w:tcPr>
          <w:p w14:paraId="56DD4665">
            <w:pPr>
              <w:spacing w:after="0" w:line="240" w:lineRule="auto"/>
            </w:pPr>
            <w:r>
              <w:rPr>
                <w:b/>
              </w:rPr>
              <w:t>Behavior</w:t>
            </w:r>
          </w:p>
        </w:tc>
      </w:tr>
      <w:tr w14:paraId="7E87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E78E70">
            <w:pPr>
              <w:spacing w:after="0" w:line="240" w:lineRule="auto"/>
            </w:pPr>
            <w:r>
              <w:t>Fewer than minimum models (default 3)</w:t>
            </w:r>
          </w:p>
        </w:tc>
        <w:tc>
          <w:tcPr>
            <w:tcW w:w="5040" w:type="dxa"/>
            <w:vAlign w:val="center"/>
          </w:tcPr>
          <w:p w14:paraId="50097A23">
            <w:pPr>
              <w:spacing w:after="0" w:line="240" w:lineRule="auto"/>
            </w:pPr>
            <w:r>
              <w:t>Rank confidence = LOW and invalid; reason = insufficient_models.</w:t>
            </w:r>
          </w:p>
        </w:tc>
      </w:tr>
      <w:tr w14:paraId="0B2F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B1AB537">
            <w:pPr>
              <w:spacing w:after="0" w:line="240" w:lineRule="auto"/>
            </w:pPr>
            <w:r>
              <w:t>Borda winner tied</w:t>
            </w:r>
          </w:p>
        </w:tc>
        <w:tc>
          <w:tcPr>
            <w:tcW w:w="5040" w:type="dxa"/>
            <w:vAlign w:val="center"/>
          </w:tcPr>
          <w:p w14:paraId="638055AE">
            <w:pPr>
              <w:spacing w:after="0" w:line="240" w:lineRule="auto"/>
            </w:pPr>
            <w:r>
              <w:t>Rank confidence = LOW; reason = borda_winner_tie.</w:t>
            </w:r>
          </w:p>
        </w:tc>
      </w:tr>
      <w:tr w14:paraId="0792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A7AE4EA">
            <w:pPr>
              <w:spacing w:after="0" w:line="240" w:lineRule="auto"/>
            </w:pPr>
            <w:r>
              <w:t>Soft-vote label differs from Borda winner</w:t>
            </w:r>
          </w:p>
        </w:tc>
        <w:tc>
          <w:tcPr>
            <w:tcW w:w="5040" w:type="dxa"/>
            <w:vAlign w:val="center"/>
          </w:tcPr>
          <w:p w14:paraId="3FE27805">
            <w:pPr>
              <w:spacing w:after="0" w:line="240" w:lineRule="auto"/>
            </w:pPr>
            <w:r>
              <w:t>Rank confidence = LOW; reason = soft_vote_borda_disagreement.</w:t>
            </w:r>
          </w:p>
        </w:tc>
      </w:tr>
      <w:tr w14:paraId="5789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23B9EEB">
            <w:pPr>
              <w:spacing w:after="0" w:line="240" w:lineRule="auto"/>
            </w:pPr>
            <w:r>
              <w:t>Class has &lt;100 OOF predictions</w:t>
            </w:r>
          </w:p>
        </w:tc>
        <w:tc>
          <w:tcPr>
            <w:tcW w:w="5040" w:type="dxa"/>
            <w:vAlign w:val="center"/>
          </w:tcPr>
          <w:p w14:paraId="3005E4A5">
            <w:pPr>
              <w:spacing w:after="0" w:line="240" w:lineRule="auto"/>
            </w:pPr>
            <w:r>
              <w:t>Class reliability = LOW and invalid; reason = insufficient_oof_class_support.</w:t>
            </w:r>
          </w:p>
        </w:tc>
      </w:tr>
      <w:tr w14:paraId="6183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37CED3">
            <w:pPr>
              <w:spacing w:after="0" w:line="240" w:lineRule="auto"/>
            </w:pPr>
            <w:r>
              <w:t>Any confidence component invalid</w:t>
            </w:r>
          </w:p>
        </w:tc>
        <w:tc>
          <w:tcPr>
            <w:tcW w:w="5040" w:type="dxa"/>
            <w:vAlign w:val="center"/>
          </w:tcPr>
          <w:p w14:paraId="7D0DE8EA">
            <w:pPr>
              <w:spacing w:after="0" w:line="240" w:lineRule="auto"/>
            </w:pPr>
            <w:r>
              <w:t>Final confidence = LOW and prediction_needs_review = True.</w:t>
            </w:r>
          </w:p>
        </w:tc>
      </w:tr>
    </w:tbl>
    <w:p w14:paraId="73EE1EA2">
      <w:pPr>
        <w:pStyle w:val="3"/>
      </w:pPr>
      <w:r>
        <w:t>10.9 What HIGH / MEDIUM / LOW means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58B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265331">
            <w:pPr>
              <w:spacing w:after="0" w:line="240" w:lineRule="auto"/>
            </w:pPr>
            <w:r>
              <w:rPr>
                <w:b/>
              </w:rPr>
              <w:t>Level</w:t>
            </w:r>
          </w:p>
        </w:tc>
        <w:tc>
          <w:tcPr>
            <w:tcW w:w="5040" w:type="dxa"/>
            <w:vAlign w:val="center"/>
          </w:tcPr>
          <w:p w14:paraId="28F60050">
            <w:pPr>
              <w:spacing w:after="0" w:line="240" w:lineRule="auto"/>
            </w:pPr>
            <w:r>
              <w:rPr>
                <w:b/>
              </w:rPr>
              <w:t>Plain-language interpretation</w:t>
            </w:r>
          </w:p>
        </w:tc>
      </w:tr>
      <w:tr w14:paraId="2104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AE45624">
            <w:pPr>
              <w:spacing w:after="0" w:line="240" w:lineRule="auto"/>
            </w:pPr>
            <w:r>
              <w:t>HIGH</w:t>
            </w:r>
          </w:p>
        </w:tc>
        <w:tc>
          <w:tcPr>
            <w:tcW w:w="5040" w:type="dxa"/>
            <w:vAlign w:val="center"/>
          </w:tcPr>
          <w:p w14:paraId="6B19F69F">
            <w:pPr>
              <w:spacing w:after="0" w:line="240" w:lineRule="auto"/>
            </w:pPr>
            <w:r>
              <w:t>The parcel has strong, consistent rank support and the predicted class has historically high OOF precision.</w:t>
            </w:r>
          </w:p>
        </w:tc>
      </w:tr>
      <w:tr w14:paraId="1A70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96C618">
            <w:pPr>
              <w:spacing w:after="0" w:line="240" w:lineRule="auto"/>
            </w:pPr>
            <w:r>
              <w:t>MEDIUM</w:t>
            </w:r>
          </w:p>
        </w:tc>
        <w:tc>
          <w:tcPr>
            <w:tcW w:w="5040" w:type="dxa"/>
            <w:vAlign w:val="center"/>
          </w:tcPr>
          <w:p w14:paraId="1EAB5EA3">
            <w:pPr>
              <w:spacing w:after="0" w:line="240" w:lineRule="auto"/>
            </w:pPr>
            <w:r>
              <w:t>The evidence is useful but at least one component is only moderate: parcel agreement, class reliability, or both.</w:t>
            </w:r>
          </w:p>
        </w:tc>
      </w:tr>
      <w:tr w14:paraId="6007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82CC443">
            <w:pPr>
              <w:spacing w:after="0" w:line="240" w:lineRule="auto"/>
            </w:pPr>
            <w:r>
              <w:t>LOW</w:t>
            </w:r>
          </w:p>
        </w:tc>
        <w:tc>
          <w:tcPr>
            <w:tcW w:w="5040" w:type="dxa"/>
            <w:vAlign w:val="center"/>
          </w:tcPr>
          <w:p w14:paraId="4E881D8E">
            <w:pPr>
              <w:spacing w:after="0" w:line="240" w:lineRule="auto"/>
            </w:pPr>
            <w:r>
              <w:t>The models disagree, the class is historically unreliable, evidence is insufficient, or a structural safeguard was triggered.</w:t>
            </w:r>
          </w:p>
        </w:tc>
      </w:tr>
    </w:tbl>
    <w:p w14:paraId="219E01AB">
      <w:pPr>
        <w:pStyle w:val="13"/>
      </w:pPr>
      <w:r>
        <w:t>These are operational confidence categories, not classical statistical confidence intervals. prediction_max_probability remains a useful diagnostic but must not be read as “73% statistical confidence”.</w:t>
      </w:r>
    </w:p>
    <w:p w14:paraId="1E371634">
      <w:pPr>
        <w:pStyle w:val="13"/>
      </w:pPr>
      <w:r>
        <w:t>Validation rule: on the untouched holdout set, HIGH predictions should normally be more accurate than MEDIUM predictions, and MEDIUM should be more accurate than LOW. If this ordering does not hold, inspect class reliability, rank thresholds, confusion matrices, and class definitions before changing the thresholds.</w:t>
      </w:r>
    </w:p>
    <w:p w14:paraId="776C816C">
      <w:pPr>
        <w:pStyle w:val="2"/>
        <w:keepNext/>
      </w:pPr>
      <w:r>
        <w:t>11. Step 5 — PREDICT: refit, classify and fill unknown labels</w:t>
      </w:r>
    </w:p>
    <w:p w14:paraId="4798D6B3">
      <w:pPr>
        <w:pStyle w:val="13"/>
      </w:pPr>
      <w:r>
        <w:rPr>
          <w:rFonts w:ascii="Aptos" w:hAnsi="Aptos"/>
        </w:rPr>
        <w:t>Step 5 is the production inference stage. It does not re-select models. It loads the frozen selection_summary.json and model_specs.json, rebuilds the selected estimators with their winning hyperparameters, fits them on all labeled rows, then predicts every row in the original checked dataset.</w:t>
      </w:r>
    </w:p>
    <w:p w14:paraId="58D837F8">
      <w:pPr>
        <w:pStyle w:val="3"/>
        <w:keepNext/>
      </w:pPr>
      <w:r>
        <w:t>11.1 Why refit on all labeled rows?</w:t>
      </w:r>
    </w:p>
    <w:p w14:paraId="506FA3D0">
      <w:pPr>
        <w:pStyle w:val="13"/>
      </w:pPr>
      <w:r>
        <w:rPr>
          <w:rFonts w:ascii="Aptos" w:hAnsi="Aptos"/>
        </w:rPr>
        <w:t>Once the final strategy has been selected and verified, the held-out labels no longer need to remain withheld for the final production model. Refitting on all known labels gives the deployed model the maximum available labeled evidence. This does not change the already-reported holdout metrics; those remain the historical validation of the strategy.</w:t>
      </w:r>
    </w:p>
    <w:p w14:paraId="41FF60D6">
      <w:pPr>
        <w:pStyle w:val="3"/>
        <w:keepNext/>
      </w:pPr>
      <w:r>
        <w:t>11.2 Prediction and filling logic</w:t>
      </w:r>
    </w:p>
    <w:p w14:paraId="215ED2F3">
      <w:pPr>
        <w:pStyle w:val="23"/>
        <w:spacing w:after="60"/>
      </w:pPr>
      <w:r>
        <w:rPr>
          <w:rFonts w:ascii="Aptos" w:hAnsi="Aptos"/>
        </w:rPr>
        <w:t>Every row receives a model prediction and per-class probability columns.</w:t>
      </w:r>
    </w:p>
    <w:p w14:paraId="79F29EBE">
      <w:pPr>
        <w:pStyle w:val="23"/>
        <w:spacing w:after="60"/>
      </w:pPr>
      <w:r>
        <w:rPr>
          <w:rFonts w:ascii="Aptos" w:hAnsi="Aptos"/>
        </w:rPr>
        <w:t>Known target labels are preserved in the filled target column.</w:t>
      </w:r>
    </w:p>
    <w:p w14:paraId="5F412A9E">
      <w:pPr>
        <w:pStyle w:val="23"/>
        <w:spacing w:after="60"/>
      </w:pPr>
      <w:r>
        <w:rPr>
          <w:rFonts w:ascii="Aptos" w:hAnsi="Aptos"/>
        </w:rPr>
        <w:t>Only rows whose original target was null are filled from the prediction.</w:t>
      </w:r>
    </w:p>
    <w:p w14:paraId="0EC9AEE6">
      <w:pPr>
        <w:pStyle w:val="23"/>
        <w:spacing w:after="60"/>
      </w:pPr>
      <w:r>
        <w:rPr>
          <w:rFonts w:ascii="Aptos" w:hAnsi="Aptos"/>
        </w:rPr>
        <w:t>prediction_max_probability stores the largest final probability as a diagnostic.</w:t>
      </w:r>
    </w:p>
    <w:p w14:paraId="5E19B3F8">
      <w:pPr>
        <w:pStyle w:val="23"/>
        <w:spacing w:after="60"/>
      </w:pPr>
      <w:r>
        <w:t>Rank confidence is calculated from the raw probability ordering of each selected member model using mean Borda, predicted-class rank range, and Borda-winner agreement. The frozen OOF precision of the predicted class is then looked up as the class-reliability guard; final confidence is the lower of the two levels.</w:t>
      </w:r>
    </w:p>
    <w:p w14:paraId="4D22D6C9">
      <w:pPr>
        <w:pStyle w:val="23"/>
        <w:spacing w:after="60"/>
      </w:pPr>
      <w:r>
        <w:t>prediction_needs_review becomes true when final confidence is LOW or invalid. If the simplified rank-confidence system is unavailable, the legacy maximum-probability threshold is only a fallback review rule.</w:t>
      </w:r>
    </w:p>
    <w:p w14:paraId="2552F6C9">
      <w:pPr>
        <w:jc w:val="center"/>
      </w:pPr>
      <w:r>
        <w:drawing>
          <wp:inline distT="0" distB="0" distL="114300" distR="114300">
            <wp:extent cx="6400800" cy="3005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400800" cy="3006044"/>
                    </a:xfrm>
                    <a:prstGeom prst="rect">
                      <a:avLst/>
                    </a:prstGeom>
                  </pic:spPr>
                </pic:pic>
              </a:graphicData>
            </a:graphic>
          </wp:inline>
        </w:drawing>
      </w:r>
    </w:p>
    <w:p w14:paraId="1671757B">
      <w:pPr>
        <w:spacing w:after="160"/>
        <w:jc w:val="center"/>
      </w:pPr>
      <w:r>
        <w:rPr>
          <w:rFonts w:ascii="Aptos" w:hAnsi="Aptos"/>
          <w:i/>
          <w:color w:val="6B7780"/>
          <w:sz w:val="17"/>
        </w:rPr>
        <w:t>Figure 7. Example of how to read one row in the final prediction output.</w:t>
      </w:r>
    </w:p>
    <w:p w14:paraId="0E470800">
      <w:r>
        <w:br w:type="page"/>
      </w:r>
    </w:p>
    <w:p w14:paraId="426564C7">
      <w:pPr>
        <w:pStyle w:val="2"/>
        <w:keepNext/>
      </w:pPr>
      <w:r>
        <w:t>12. Output architecture and artifact reference</w:t>
      </w:r>
    </w:p>
    <w:p w14:paraId="15110B14">
      <w:pPr>
        <w:jc w:val="center"/>
      </w:pPr>
      <w:r>
        <w:drawing>
          <wp:inline distT="0" distB="0" distL="114300" distR="114300">
            <wp:extent cx="6400800" cy="3562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400800" cy="3563172"/>
                    </a:xfrm>
                    <a:prstGeom prst="rect">
                      <a:avLst/>
                    </a:prstGeom>
                  </pic:spPr>
                </pic:pic>
              </a:graphicData>
            </a:graphic>
          </wp:inline>
        </w:drawing>
      </w:r>
    </w:p>
    <w:p w14:paraId="24E084BD">
      <w:pPr>
        <w:spacing w:after="160"/>
        <w:jc w:val="center"/>
      </w:pPr>
      <w:r>
        <w:rPr>
          <w:rFonts w:ascii="Aptos" w:hAnsi="Aptos"/>
          <w:i/>
          <w:color w:val="6B7780"/>
          <w:sz w:val="17"/>
        </w:rPr>
        <w:t>Figure 8. Major output directories and the most important audit artifacts.</w:t>
      </w:r>
    </w:p>
    <w:p w14:paraId="08905C6C">
      <w:pPr>
        <w:pStyle w:val="13"/>
      </w:pPr>
      <w:r>
        <w:rPr>
          <w:rFonts w:ascii="Aptos" w:hAnsi="Aptos"/>
        </w:rPr>
        <w:t>The easiest human entry point is report_index.html, which links the step reports. The CSV/JSON/joblib files are the machine-readable and audit layer. Every step also writes schema_manifest.json describing expected JSON/CSV contracts.</w:t>
      </w:r>
    </w:p>
    <w:p w14:paraId="7AF80530">
      <w:pPr>
        <w:pStyle w:val="3"/>
        <w:keepNext/>
      </w:pPr>
      <w:r>
        <w:t>12.1 Step 1 — 01_check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45FF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17324D"/>
            <w:tcMar>
              <w:top w:w="100" w:type="dxa"/>
              <w:left w:w="100" w:type="dxa"/>
              <w:bottom w:w="100" w:type="dxa"/>
              <w:right w:w="100" w:type="dxa"/>
            </w:tcMar>
            <w:vAlign w:val="center"/>
          </w:tcPr>
          <w:p w14:paraId="2691DFC1">
            <w:pPr>
              <w:spacing w:after="0" w:line="240" w:lineRule="auto"/>
              <w:jc w:val="center"/>
            </w:pPr>
            <w:r>
              <w:rPr>
                <w:rFonts w:ascii="Aptos" w:hAnsi="Aptos"/>
                <w:b/>
                <w:color w:val="FFFFFF"/>
                <w:sz w:val="17"/>
              </w:rPr>
              <w:t>Artifact</w:t>
            </w:r>
          </w:p>
        </w:tc>
        <w:tc>
          <w:tcPr>
            <w:tcW w:w="6624" w:type="dxa"/>
            <w:shd w:val="clear" w:color="auto" w:fill="17324D"/>
            <w:tcMar>
              <w:top w:w="100" w:type="dxa"/>
              <w:left w:w="100" w:type="dxa"/>
              <w:bottom w:w="100" w:type="dxa"/>
              <w:right w:w="100" w:type="dxa"/>
            </w:tcMar>
            <w:vAlign w:val="center"/>
          </w:tcPr>
          <w:p w14:paraId="2C2B1CC0">
            <w:pPr>
              <w:spacing w:after="0" w:line="240" w:lineRule="auto"/>
              <w:jc w:val="center"/>
            </w:pPr>
            <w:r>
              <w:rPr>
                <w:rFonts w:ascii="Aptos" w:hAnsi="Aptos"/>
                <w:b/>
                <w:color w:val="FFFFFF"/>
                <w:sz w:val="17"/>
              </w:rPr>
              <w:t>Use</w:t>
            </w:r>
          </w:p>
        </w:tc>
      </w:tr>
      <w:tr w14:paraId="311E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0B50469A">
            <w:pPr>
              <w:spacing w:after="0" w:line="240" w:lineRule="auto"/>
            </w:pPr>
            <w:r>
              <w:rPr>
                <w:rFonts w:ascii="Aptos" w:hAnsi="Aptos"/>
                <w:b/>
                <w:color w:val="27343D"/>
                <w:sz w:val="17"/>
              </w:rPr>
              <w:t>input_dataset.joblib</w:t>
            </w:r>
          </w:p>
        </w:tc>
        <w:tc>
          <w:tcPr>
            <w:tcW w:w="6624" w:type="dxa"/>
            <w:tcMar>
              <w:top w:w="100" w:type="dxa"/>
              <w:left w:w="100" w:type="dxa"/>
              <w:bottom w:w="100" w:type="dxa"/>
              <w:right w:w="100" w:type="dxa"/>
            </w:tcMar>
            <w:vAlign w:val="center"/>
          </w:tcPr>
          <w:p w14:paraId="180F25E4">
            <w:pPr>
              <w:spacing w:after="0" w:line="240" w:lineRule="auto"/>
            </w:pPr>
            <w:r>
              <w:rPr>
                <w:rFonts w:ascii="Aptos" w:hAnsi="Aptos"/>
                <w:b w:val="0"/>
                <w:color w:val="27343D"/>
                <w:sz w:val="17"/>
              </w:rPr>
              <w:t>Validated/cleaned dataset consumed downstream.</w:t>
            </w:r>
          </w:p>
        </w:tc>
      </w:tr>
      <w:tr w14:paraId="67903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6081F2A9">
            <w:pPr>
              <w:spacing w:after="0" w:line="240" w:lineRule="auto"/>
            </w:pPr>
            <w:r>
              <w:rPr>
                <w:rFonts w:ascii="Aptos" w:hAnsi="Aptos"/>
                <w:b/>
                <w:color w:val="27343D"/>
                <w:sz w:val="17"/>
              </w:rPr>
              <w:t>check_summary.json</w:t>
            </w:r>
          </w:p>
        </w:tc>
        <w:tc>
          <w:tcPr>
            <w:tcW w:w="6624" w:type="dxa"/>
            <w:shd w:val="clear" w:color="auto" w:fill="F8FAFB"/>
            <w:tcMar>
              <w:top w:w="100" w:type="dxa"/>
              <w:left w:w="100" w:type="dxa"/>
              <w:bottom w:w="100" w:type="dxa"/>
              <w:right w:w="100" w:type="dxa"/>
            </w:tcMar>
            <w:vAlign w:val="center"/>
          </w:tcPr>
          <w:p w14:paraId="54BF2CBC">
            <w:pPr>
              <w:spacing w:after="0" w:line="240" w:lineRule="auto"/>
            </w:pPr>
            <w:r>
              <w:rPr>
                <w:rFonts w:ascii="Aptos" w:hAnsi="Aptos"/>
                <w:b w:val="0"/>
                <w:color w:val="27343D"/>
                <w:sz w:val="17"/>
              </w:rPr>
              <w:t>Data-quality and configuration summary.</w:t>
            </w:r>
          </w:p>
        </w:tc>
      </w:tr>
      <w:tr w14:paraId="1BB2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7A618DB2">
            <w:pPr>
              <w:spacing w:after="0" w:line="240" w:lineRule="auto"/>
            </w:pPr>
            <w:r>
              <w:rPr>
                <w:rFonts w:ascii="Aptos" w:hAnsi="Aptos"/>
                <w:b/>
                <w:color w:val="27343D"/>
                <w:sz w:val="17"/>
              </w:rPr>
              <w:t>feature_profile.csv</w:t>
            </w:r>
          </w:p>
        </w:tc>
        <w:tc>
          <w:tcPr>
            <w:tcW w:w="6624" w:type="dxa"/>
            <w:tcMar>
              <w:top w:w="100" w:type="dxa"/>
              <w:left w:w="100" w:type="dxa"/>
              <w:bottom w:w="100" w:type="dxa"/>
              <w:right w:w="100" w:type="dxa"/>
            </w:tcMar>
            <w:vAlign w:val="center"/>
          </w:tcPr>
          <w:p w14:paraId="2E95C299">
            <w:pPr>
              <w:spacing w:after="0" w:line="240" w:lineRule="auto"/>
            </w:pPr>
            <w:r>
              <w:rPr>
                <w:rFonts w:ascii="Aptos" w:hAnsi="Aptos"/>
                <w:b w:val="0"/>
                <w:color w:val="27343D"/>
                <w:sz w:val="17"/>
              </w:rPr>
              <w:t>Feature-level diagnostic profile.</w:t>
            </w:r>
          </w:p>
        </w:tc>
      </w:tr>
      <w:tr w14:paraId="5622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354B5B33">
            <w:pPr>
              <w:spacing w:after="0" w:line="240" w:lineRule="auto"/>
            </w:pPr>
            <w:r>
              <w:rPr>
                <w:rFonts w:ascii="Aptos" w:hAnsi="Aptos"/>
                <w:b/>
                <w:color w:val="27343D"/>
                <w:sz w:val="17"/>
              </w:rPr>
              <w:t>report.html</w:t>
            </w:r>
          </w:p>
        </w:tc>
        <w:tc>
          <w:tcPr>
            <w:tcW w:w="6624" w:type="dxa"/>
            <w:shd w:val="clear" w:color="auto" w:fill="F8FAFB"/>
            <w:tcMar>
              <w:top w:w="100" w:type="dxa"/>
              <w:left w:w="100" w:type="dxa"/>
              <w:bottom w:w="100" w:type="dxa"/>
              <w:right w:w="100" w:type="dxa"/>
            </w:tcMar>
            <w:vAlign w:val="center"/>
          </w:tcPr>
          <w:p w14:paraId="1E082B27">
            <w:pPr>
              <w:spacing w:after="0" w:line="240" w:lineRule="auto"/>
            </w:pPr>
            <w:r>
              <w:rPr>
                <w:rFonts w:ascii="Aptos" w:hAnsi="Aptos"/>
                <w:b w:val="0"/>
                <w:color w:val="27343D"/>
                <w:sz w:val="17"/>
              </w:rPr>
              <w:t>Human-readable Step 1 report.</w:t>
            </w:r>
          </w:p>
        </w:tc>
      </w:tr>
      <w:tr w14:paraId="5012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184CC989">
            <w:pPr>
              <w:spacing w:after="0" w:line="240" w:lineRule="auto"/>
            </w:pPr>
            <w:r>
              <w:rPr>
                <w:rFonts w:ascii="Aptos" w:hAnsi="Aptos"/>
                <w:b/>
                <w:color w:val="27343D"/>
                <w:sz w:val="17"/>
              </w:rPr>
              <w:t>plots/*</w:t>
            </w:r>
          </w:p>
        </w:tc>
        <w:tc>
          <w:tcPr>
            <w:tcW w:w="6624" w:type="dxa"/>
            <w:tcMar>
              <w:top w:w="100" w:type="dxa"/>
              <w:left w:w="100" w:type="dxa"/>
              <w:bottom w:w="100" w:type="dxa"/>
              <w:right w:w="100" w:type="dxa"/>
            </w:tcMar>
            <w:vAlign w:val="center"/>
          </w:tcPr>
          <w:p w14:paraId="0865FDDA">
            <w:pPr>
              <w:spacing w:after="0" w:line="240" w:lineRule="auto"/>
            </w:pPr>
            <w:r>
              <w:rPr>
                <w:rFonts w:ascii="Aptos" w:hAnsi="Aptos"/>
                <w:b w:val="0"/>
                <w:color w:val="27343D"/>
                <w:sz w:val="17"/>
              </w:rPr>
              <w:t>Missingness, class distribution and optional label maps.</w:t>
            </w:r>
          </w:p>
        </w:tc>
      </w:tr>
    </w:tbl>
    <w:p w14:paraId="3488CDB5">
      <w:pPr>
        <w:spacing w:after="0"/>
      </w:pPr>
    </w:p>
    <w:p w14:paraId="23279618">
      <w:pPr>
        <w:pStyle w:val="3"/>
        <w:keepNext/>
      </w:pPr>
      <w:r>
        <w:t>12.2 Step 2 — 02_prepare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3863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17324D"/>
            <w:tcMar>
              <w:top w:w="100" w:type="dxa"/>
              <w:left w:w="100" w:type="dxa"/>
              <w:bottom w:w="100" w:type="dxa"/>
              <w:right w:w="100" w:type="dxa"/>
            </w:tcMar>
            <w:vAlign w:val="center"/>
          </w:tcPr>
          <w:p w14:paraId="5CF90804">
            <w:pPr>
              <w:spacing w:after="0" w:line="240" w:lineRule="auto"/>
              <w:jc w:val="center"/>
            </w:pPr>
            <w:r>
              <w:rPr>
                <w:rFonts w:ascii="Aptos" w:hAnsi="Aptos"/>
                <w:b/>
                <w:color w:val="FFFFFF"/>
                <w:sz w:val="17"/>
              </w:rPr>
              <w:t>Artifact</w:t>
            </w:r>
          </w:p>
        </w:tc>
        <w:tc>
          <w:tcPr>
            <w:tcW w:w="6624" w:type="dxa"/>
            <w:shd w:val="clear" w:color="auto" w:fill="17324D"/>
            <w:tcMar>
              <w:top w:w="100" w:type="dxa"/>
              <w:left w:w="100" w:type="dxa"/>
              <w:bottom w:w="100" w:type="dxa"/>
              <w:right w:w="100" w:type="dxa"/>
            </w:tcMar>
            <w:vAlign w:val="center"/>
          </w:tcPr>
          <w:p w14:paraId="013208C5">
            <w:pPr>
              <w:spacing w:after="0" w:line="240" w:lineRule="auto"/>
              <w:jc w:val="center"/>
            </w:pPr>
            <w:r>
              <w:rPr>
                <w:rFonts w:ascii="Aptos" w:hAnsi="Aptos"/>
                <w:b/>
                <w:color w:val="FFFFFF"/>
                <w:sz w:val="17"/>
              </w:rPr>
              <w:t>Use</w:t>
            </w:r>
          </w:p>
        </w:tc>
      </w:tr>
      <w:tr w14:paraId="5DAD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0A0069EF">
            <w:pPr>
              <w:spacing w:after="0" w:line="240" w:lineRule="auto"/>
            </w:pPr>
            <w:r>
              <w:rPr>
                <w:rFonts w:ascii="Aptos" w:hAnsi="Aptos"/>
                <w:b/>
                <w:color w:val="27343D"/>
                <w:sz w:val="17"/>
              </w:rPr>
              <w:t>train_dataset.joblib</w:t>
            </w:r>
          </w:p>
        </w:tc>
        <w:tc>
          <w:tcPr>
            <w:tcW w:w="6624" w:type="dxa"/>
            <w:tcMar>
              <w:top w:w="100" w:type="dxa"/>
              <w:left w:w="100" w:type="dxa"/>
              <w:bottom w:w="100" w:type="dxa"/>
              <w:right w:w="100" w:type="dxa"/>
            </w:tcMar>
            <w:vAlign w:val="center"/>
          </w:tcPr>
          <w:p w14:paraId="57FAA630">
            <w:pPr>
              <w:spacing w:after="0" w:line="240" w:lineRule="auto"/>
            </w:pPr>
            <w:r>
              <w:rPr>
                <w:rFonts w:ascii="Aptos" w:hAnsi="Aptos"/>
                <w:b w:val="0"/>
                <w:color w:val="27343D"/>
                <w:sz w:val="17"/>
              </w:rPr>
              <w:t>Training/CV partition.</w:t>
            </w:r>
          </w:p>
        </w:tc>
      </w:tr>
      <w:tr w14:paraId="592C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3A1820F3">
            <w:pPr>
              <w:spacing w:after="0" w:line="240" w:lineRule="auto"/>
            </w:pPr>
            <w:r>
              <w:rPr>
                <w:rFonts w:ascii="Aptos" w:hAnsi="Aptos"/>
                <w:b/>
                <w:color w:val="27343D"/>
                <w:sz w:val="17"/>
              </w:rPr>
              <w:t>test_dataset.joblib</w:t>
            </w:r>
          </w:p>
        </w:tc>
        <w:tc>
          <w:tcPr>
            <w:tcW w:w="6624" w:type="dxa"/>
            <w:shd w:val="clear" w:color="auto" w:fill="F8FAFB"/>
            <w:tcMar>
              <w:top w:w="100" w:type="dxa"/>
              <w:left w:w="100" w:type="dxa"/>
              <w:bottom w:w="100" w:type="dxa"/>
              <w:right w:w="100" w:type="dxa"/>
            </w:tcMar>
            <w:vAlign w:val="center"/>
          </w:tcPr>
          <w:p w14:paraId="48612205">
            <w:pPr>
              <w:spacing w:after="0" w:line="240" w:lineRule="auto"/>
            </w:pPr>
            <w:r>
              <w:rPr>
                <w:rFonts w:ascii="Aptos" w:hAnsi="Aptos"/>
                <w:b w:val="0"/>
                <w:color w:val="27343D"/>
                <w:sz w:val="17"/>
              </w:rPr>
              <w:t>Untouched final evaluation partition.</w:t>
            </w:r>
          </w:p>
        </w:tc>
      </w:tr>
      <w:tr w14:paraId="6299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67615FFB">
            <w:pPr>
              <w:spacing w:after="0" w:line="240" w:lineRule="auto"/>
            </w:pPr>
            <w:r>
              <w:rPr>
                <w:rFonts w:ascii="Aptos" w:hAnsi="Aptos"/>
                <w:b/>
                <w:color w:val="27343D"/>
                <w:sz w:val="17"/>
              </w:rPr>
              <w:t>labeled_dataset.joblib</w:t>
            </w:r>
          </w:p>
        </w:tc>
        <w:tc>
          <w:tcPr>
            <w:tcW w:w="6624" w:type="dxa"/>
            <w:tcMar>
              <w:top w:w="100" w:type="dxa"/>
              <w:left w:w="100" w:type="dxa"/>
              <w:bottom w:w="100" w:type="dxa"/>
              <w:right w:w="100" w:type="dxa"/>
            </w:tcMar>
            <w:vAlign w:val="center"/>
          </w:tcPr>
          <w:p w14:paraId="3C7D2C3C">
            <w:pPr>
              <w:spacing w:after="0" w:line="240" w:lineRule="auto"/>
            </w:pPr>
            <w:r>
              <w:rPr>
                <w:rFonts w:ascii="Aptos" w:hAnsi="Aptos"/>
                <w:b w:val="0"/>
                <w:color w:val="27343D"/>
                <w:sz w:val="17"/>
              </w:rPr>
              <w:t>All known-label rows for final refit.</w:t>
            </w:r>
          </w:p>
        </w:tc>
      </w:tr>
      <w:tr w14:paraId="4041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1C5851D9">
            <w:pPr>
              <w:spacing w:after="0" w:line="240" w:lineRule="auto"/>
            </w:pPr>
            <w:r>
              <w:rPr>
                <w:rFonts w:ascii="Aptos" w:hAnsi="Aptos"/>
                <w:b/>
                <w:color w:val="27343D"/>
                <w:sz w:val="17"/>
              </w:rPr>
              <w:t>prepare_summary.json</w:t>
            </w:r>
          </w:p>
        </w:tc>
        <w:tc>
          <w:tcPr>
            <w:tcW w:w="6624" w:type="dxa"/>
            <w:shd w:val="clear" w:color="auto" w:fill="F8FAFB"/>
            <w:tcMar>
              <w:top w:w="100" w:type="dxa"/>
              <w:left w:w="100" w:type="dxa"/>
              <w:bottom w:w="100" w:type="dxa"/>
              <w:right w:w="100" w:type="dxa"/>
            </w:tcMar>
            <w:vAlign w:val="center"/>
          </w:tcPr>
          <w:p w14:paraId="46573CC6">
            <w:pPr>
              <w:spacing w:after="0" w:line="240" w:lineRule="auto"/>
            </w:pPr>
            <w:r>
              <w:rPr>
                <w:rFonts w:ascii="Aptos" w:hAnsi="Aptos"/>
                <w:b w:val="0"/>
                <w:color w:val="27343D"/>
                <w:sz w:val="17"/>
              </w:rPr>
              <w:t>Split strategy, class list and exact CV folds.</w:t>
            </w:r>
          </w:p>
        </w:tc>
      </w:tr>
      <w:tr w14:paraId="0E70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Mar>
              <w:top w:w="100" w:type="dxa"/>
              <w:left w:w="100" w:type="dxa"/>
              <w:bottom w:w="100" w:type="dxa"/>
              <w:right w:w="100" w:type="dxa"/>
            </w:tcMar>
            <w:vAlign w:val="center"/>
          </w:tcPr>
          <w:p w14:paraId="02C36BFC">
            <w:pPr>
              <w:spacing w:after="0" w:line="240" w:lineRule="auto"/>
            </w:pPr>
            <w:r>
              <w:rPr>
                <w:rFonts w:ascii="Aptos" w:hAnsi="Aptos"/>
                <w:b/>
                <w:color w:val="27343D"/>
                <w:sz w:val="17"/>
              </w:rPr>
              <w:t>label_mapping.csv</w:t>
            </w:r>
          </w:p>
        </w:tc>
        <w:tc>
          <w:tcPr>
            <w:tcW w:w="6624" w:type="dxa"/>
            <w:tcMar>
              <w:top w:w="100" w:type="dxa"/>
              <w:left w:w="100" w:type="dxa"/>
              <w:bottom w:w="100" w:type="dxa"/>
              <w:right w:w="100" w:type="dxa"/>
            </w:tcMar>
            <w:vAlign w:val="center"/>
          </w:tcPr>
          <w:p w14:paraId="0E0E90DA">
            <w:pPr>
              <w:spacing w:after="0" w:line="240" w:lineRule="auto"/>
            </w:pPr>
            <w:r>
              <w:rPr>
                <w:rFonts w:ascii="Aptos" w:hAnsi="Aptos"/>
                <w:b w:val="0"/>
                <w:color w:val="27343D"/>
                <w:sz w:val="17"/>
              </w:rPr>
              <w:t>Original ↔ encoded label mapping.</w:t>
            </w:r>
          </w:p>
        </w:tc>
      </w:tr>
      <w:tr w14:paraId="72CF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8FAFB"/>
            <w:tcMar>
              <w:top w:w="100" w:type="dxa"/>
              <w:left w:w="100" w:type="dxa"/>
              <w:bottom w:w="100" w:type="dxa"/>
              <w:right w:w="100" w:type="dxa"/>
            </w:tcMar>
            <w:vAlign w:val="center"/>
          </w:tcPr>
          <w:p w14:paraId="53A9CCB4">
            <w:pPr>
              <w:spacing w:after="0" w:line="240" w:lineRule="auto"/>
            </w:pPr>
            <w:r>
              <w:rPr>
                <w:rFonts w:ascii="Aptos" w:hAnsi="Aptos"/>
                <w:b/>
                <w:color w:val="27343D"/>
                <w:sz w:val="17"/>
              </w:rPr>
              <w:t>plots/*</w:t>
            </w:r>
          </w:p>
        </w:tc>
        <w:tc>
          <w:tcPr>
            <w:tcW w:w="6624" w:type="dxa"/>
            <w:shd w:val="clear" w:color="auto" w:fill="F8FAFB"/>
            <w:tcMar>
              <w:top w:w="100" w:type="dxa"/>
              <w:left w:w="100" w:type="dxa"/>
              <w:bottom w:w="100" w:type="dxa"/>
              <w:right w:w="100" w:type="dxa"/>
            </w:tcMar>
            <w:vAlign w:val="center"/>
          </w:tcPr>
          <w:p w14:paraId="714E9B3D">
            <w:pPr>
              <w:spacing w:after="0" w:line="240" w:lineRule="auto"/>
            </w:pPr>
            <w:r>
              <w:rPr>
                <w:rFonts w:ascii="Aptos" w:hAnsi="Aptos"/>
                <w:b w:val="0"/>
                <w:color w:val="27343D"/>
                <w:sz w:val="17"/>
              </w:rPr>
              <w:t>Split balance, feature shift, correlations and spatial split map.</w:t>
            </w:r>
          </w:p>
        </w:tc>
      </w:tr>
    </w:tbl>
    <w:p w14:paraId="2A23976D">
      <w:pPr>
        <w:spacing w:after="0"/>
      </w:pPr>
    </w:p>
    <w:p w14:paraId="669815CF">
      <w:pPr>
        <w:pStyle w:val="3"/>
        <w:keepNext/>
      </w:pPr>
      <w:r>
        <w:t>12.3 Step 3 — 03_train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999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88" w:type="dxa"/>
            <w:shd w:val="clear" w:color="auto" w:fill="17324D"/>
            <w:tcMar>
              <w:top w:w="100" w:type="dxa"/>
              <w:left w:w="100" w:type="dxa"/>
              <w:bottom w:w="100" w:type="dxa"/>
              <w:right w:w="100" w:type="dxa"/>
            </w:tcMar>
            <w:vAlign w:val="center"/>
          </w:tcPr>
          <w:p w14:paraId="01725717">
            <w:pPr>
              <w:spacing w:after="0" w:line="240" w:lineRule="auto"/>
              <w:jc w:val="center"/>
            </w:pPr>
            <w:r>
              <w:rPr>
                <w:rFonts w:ascii="Aptos" w:hAnsi="Aptos"/>
                <w:b/>
                <w:color w:val="FFFFFF"/>
                <w:sz w:val="16"/>
              </w:rPr>
              <w:t>Artifact</w:t>
            </w:r>
          </w:p>
        </w:tc>
        <w:tc>
          <w:tcPr>
            <w:tcW w:w="6336" w:type="dxa"/>
            <w:shd w:val="clear" w:color="auto" w:fill="17324D"/>
            <w:tcMar>
              <w:top w:w="100" w:type="dxa"/>
              <w:left w:w="100" w:type="dxa"/>
              <w:bottom w:w="100" w:type="dxa"/>
              <w:right w:w="100" w:type="dxa"/>
            </w:tcMar>
            <w:vAlign w:val="center"/>
          </w:tcPr>
          <w:p w14:paraId="6DA03D04">
            <w:pPr>
              <w:spacing w:after="0" w:line="240" w:lineRule="auto"/>
              <w:jc w:val="center"/>
            </w:pPr>
            <w:r>
              <w:rPr>
                <w:rFonts w:ascii="Aptos" w:hAnsi="Aptos"/>
                <w:b/>
                <w:color w:val="FFFFFF"/>
                <w:sz w:val="16"/>
              </w:rPr>
              <w:t>Use</w:t>
            </w:r>
          </w:p>
        </w:tc>
      </w:tr>
      <w:tr w14:paraId="2763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00ACD5E4">
            <w:pPr>
              <w:spacing w:after="0" w:line="240" w:lineRule="auto"/>
            </w:pPr>
            <w:r>
              <w:rPr>
                <w:rFonts w:ascii="Aptos" w:hAnsi="Aptos"/>
                <w:b/>
                <w:color w:val="27343D"/>
                <w:sz w:val="16"/>
              </w:rPr>
              <w:t>training_summary.csv</w:t>
            </w:r>
          </w:p>
        </w:tc>
        <w:tc>
          <w:tcPr>
            <w:tcW w:w="6336" w:type="dxa"/>
            <w:tcMar>
              <w:top w:w="100" w:type="dxa"/>
              <w:left w:w="100" w:type="dxa"/>
              <w:bottom w:w="100" w:type="dxa"/>
              <w:right w:w="100" w:type="dxa"/>
            </w:tcMar>
            <w:vAlign w:val="center"/>
          </w:tcPr>
          <w:p w14:paraId="6884E681">
            <w:pPr>
              <w:spacing w:after="0" w:line="240" w:lineRule="auto"/>
            </w:pPr>
            <w:r>
              <w:rPr>
                <w:rFonts w:ascii="Aptos" w:hAnsi="Aptos"/>
                <w:b w:val="0"/>
                <w:color w:val="27343D"/>
                <w:sz w:val="16"/>
              </w:rPr>
              <w:t>Authoritative CV ranking of model families.</w:t>
            </w:r>
          </w:p>
        </w:tc>
      </w:tr>
      <w:tr w14:paraId="78783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14EB851D">
            <w:pPr>
              <w:spacing w:after="0" w:line="240" w:lineRule="auto"/>
            </w:pPr>
            <w:r>
              <w:rPr>
                <w:rFonts w:ascii="Aptos" w:hAnsi="Aptos"/>
                <w:b/>
                <w:color w:val="27343D"/>
                <w:sz w:val="16"/>
              </w:rPr>
              <w:t>training_failed_models.csv</w:t>
            </w:r>
          </w:p>
        </w:tc>
        <w:tc>
          <w:tcPr>
            <w:tcW w:w="6336" w:type="dxa"/>
            <w:shd w:val="clear" w:color="auto" w:fill="F8FAFB"/>
            <w:tcMar>
              <w:top w:w="100" w:type="dxa"/>
              <w:left w:w="100" w:type="dxa"/>
              <w:bottom w:w="100" w:type="dxa"/>
              <w:right w:w="100" w:type="dxa"/>
            </w:tcMar>
            <w:vAlign w:val="center"/>
          </w:tcPr>
          <w:p w14:paraId="154D01CD">
            <w:pPr>
              <w:spacing w:after="0" w:line="240" w:lineRule="auto"/>
            </w:pPr>
            <w:r>
              <w:rPr>
                <w:rFonts w:ascii="Aptos" w:hAnsi="Aptos"/>
                <w:b w:val="0"/>
                <w:color w:val="27343D"/>
                <w:sz w:val="16"/>
              </w:rPr>
              <w:t>Candidate failures.</w:t>
            </w:r>
          </w:p>
        </w:tc>
      </w:tr>
      <w:tr w14:paraId="4818B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66C8582A">
            <w:pPr>
              <w:spacing w:after="0" w:line="240" w:lineRule="auto"/>
            </w:pPr>
            <w:r>
              <w:rPr>
                <w:rFonts w:ascii="Aptos" w:hAnsi="Aptos"/>
                <w:b/>
                <w:color w:val="27343D"/>
                <w:sz w:val="16"/>
              </w:rPr>
              <w:t>best_cv_fold_scores.csv</w:t>
            </w:r>
          </w:p>
        </w:tc>
        <w:tc>
          <w:tcPr>
            <w:tcW w:w="6336" w:type="dxa"/>
            <w:tcMar>
              <w:top w:w="100" w:type="dxa"/>
              <w:left w:w="100" w:type="dxa"/>
              <w:bottom w:w="100" w:type="dxa"/>
              <w:right w:w="100" w:type="dxa"/>
            </w:tcMar>
            <w:vAlign w:val="center"/>
          </w:tcPr>
          <w:p w14:paraId="76CF0B4A">
            <w:pPr>
              <w:spacing w:after="0" w:line="240" w:lineRule="auto"/>
            </w:pPr>
            <w:r>
              <w:rPr>
                <w:rFonts w:ascii="Aptos" w:hAnsi="Aptos"/>
                <w:b w:val="0"/>
                <w:color w:val="27343D"/>
                <w:sz w:val="16"/>
              </w:rPr>
              <w:t>Fold stability diagnostics.</w:t>
            </w:r>
          </w:p>
        </w:tc>
      </w:tr>
      <w:tr w14:paraId="568D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0E96D4CE">
            <w:pPr>
              <w:spacing w:after="0" w:line="240" w:lineRule="auto"/>
            </w:pPr>
            <w:r>
              <w:rPr>
                <w:rFonts w:ascii="Aptos" w:hAnsi="Aptos"/>
                <w:b/>
                <w:color w:val="27343D"/>
                <w:sz w:val="16"/>
              </w:rPr>
              <w:t>model_specs.json</w:t>
            </w:r>
          </w:p>
        </w:tc>
        <w:tc>
          <w:tcPr>
            <w:tcW w:w="6336" w:type="dxa"/>
            <w:shd w:val="clear" w:color="auto" w:fill="F8FAFB"/>
            <w:tcMar>
              <w:top w:w="100" w:type="dxa"/>
              <w:left w:w="100" w:type="dxa"/>
              <w:bottom w:w="100" w:type="dxa"/>
              <w:right w:w="100" w:type="dxa"/>
            </w:tcMar>
            <w:vAlign w:val="center"/>
          </w:tcPr>
          <w:p w14:paraId="0D385873">
            <w:pPr>
              <w:spacing w:after="0" w:line="240" w:lineRule="auto"/>
            </w:pPr>
            <w:r>
              <w:rPr>
                <w:rFonts w:ascii="Aptos" w:hAnsi="Aptos"/>
                <w:b w:val="0"/>
                <w:color w:val="27343D"/>
                <w:sz w:val="16"/>
              </w:rPr>
              <w:t>Winning hyperparameters and reconstruction metadata.</w:t>
            </w:r>
          </w:p>
        </w:tc>
      </w:tr>
      <w:tr w14:paraId="3BD2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66E982F6">
            <w:pPr>
              <w:spacing w:after="0" w:line="240" w:lineRule="auto"/>
            </w:pPr>
            <w:r>
              <w:rPr>
                <w:rFonts w:ascii="Aptos" w:hAnsi="Aptos"/>
                <w:b/>
                <w:color w:val="27343D"/>
                <w:sz w:val="16"/>
              </w:rPr>
              <w:t>models/&lt;name&gt;/best_model.joblib</w:t>
            </w:r>
          </w:p>
        </w:tc>
        <w:tc>
          <w:tcPr>
            <w:tcW w:w="6336" w:type="dxa"/>
            <w:tcMar>
              <w:top w:w="100" w:type="dxa"/>
              <w:left w:w="100" w:type="dxa"/>
              <w:bottom w:w="100" w:type="dxa"/>
              <w:right w:w="100" w:type="dxa"/>
            </w:tcMar>
            <w:vAlign w:val="center"/>
          </w:tcPr>
          <w:p w14:paraId="18D28F57">
            <w:pPr>
              <w:spacing w:after="0" w:line="240" w:lineRule="auto"/>
            </w:pPr>
            <w:r>
              <w:rPr>
                <w:rFonts w:ascii="Aptos" w:hAnsi="Aptos"/>
                <w:b w:val="0"/>
                <w:color w:val="27343D"/>
                <w:sz w:val="16"/>
              </w:rPr>
              <w:t>Best fitted search estimator.</w:t>
            </w:r>
          </w:p>
        </w:tc>
      </w:tr>
      <w:tr w14:paraId="5655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1615E8F1">
            <w:pPr>
              <w:spacing w:after="0" w:line="240" w:lineRule="auto"/>
            </w:pPr>
            <w:r>
              <w:rPr>
                <w:rFonts w:ascii="Aptos" w:hAnsi="Aptos"/>
                <w:b/>
                <w:color w:val="27343D"/>
                <w:sz w:val="16"/>
              </w:rPr>
              <w:t>models/&lt;name&gt;/cv_results.csv</w:t>
            </w:r>
          </w:p>
        </w:tc>
        <w:tc>
          <w:tcPr>
            <w:tcW w:w="6336" w:type="dxa"/>
            <w:shd w:val="clear" w:color="auto" w:fill="F8FAFB"/>
            <w:tcMar>
              <w:top w:w="100" w:type="dxa"/>
              <w:left w:w="100" w:type="dxa"/>
              <w:bottom w:w="100" w:type="dxa"/>
              <w:right w:w="100" w:type="dxa"/>
            </w:tcMar>
            <w:vAlign w:val="center"/>
          </w:tcPr>
          <w:p w14:paraId="1DAB3981">
            <w:pPr>
              <w:spacing w:after="0" w:line="240" w:lineRule="auto"/>
            </w:pPr>
            <w:r>
              <w:rPr>
                <w:rFonts w:ascii="Aptos" w:hAnsi="Aptos"/>
                <w:b w:val="0"/>
                <w:color w:val="27343D"/>
                <w:sz w:val="16"/>
              </w:rPr>
              <w:t>Complete tuning results.</w:t>
            </w:r>
          </w:p>
        </w:tc>
      </w:tr>
      <w:tr w14:paraId="1411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Mar>
              <w:top w:w="100" w:type="dxa"/>
              <w:left w:w="100" w:type="dxa"/>
              <w:bottom w:w="100" w:type="dxa"/>
              <w:right w:w="100" w:type="dxa"/>
            </w:tcMar>
            <w:vAlign w:val="center"/>
          </w:tcPr>
          <w:p w14:paraId="388EA2AF">
            <w:pPr>
              <w:spacing w:after="0" w:line="240" w:lineRule="auto"/>
            </w:pPr>
            <w:r>
              <w:rPr>
                <w:rFonts w:ascii="Aptos" w:hAnsi="Aptos"/>
                <w:b/>
                <w:color w:val="27343D"/>
                <w:sz w:val="16"/>
              </w:rPr>
              <w:t>models/&lt;name&gt;/oof_probabilities.joblib</w:t>
            </w:r>
          </w:p>
        </w:tc>
        <w:tc>
          <w:tcPr>
            <w:tcW w:w="6336" w:type="dxa"/>
            <w:tcMar>
              <w:top w:w="100" w:type="dxa"/>
              <w:left w:w="100" w:type="dxa"/>
              <w:bottom w:w="100" w:type="dxa"/>
              <w:right w:w="100" w:type="dxa"/>
            </w:tcMar>
            <w:vAlign w:val="center"/>
          </w:tcPr>
          <w:p w14:paraId="0C913688">
            <w:pPr>
              <w:spacing w:after="0" w:line="240" w:lineRule="auto"/>
            </w:pPr>
            <w:r>
              <w:t>Leakage-safe OOF member probabilities used for OOF soft voting, class reliability, and optional probability optimization.</w:t>
            </w:r>
          </w:p>
        </w:tc>
      </w:tr>
      <w:tr w14:paraId="220E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8FAFB"/>
            <w:tcMar>
              <w:top w:w="100" w:type="dxa"/>
              <w:left w:w="100" w:type="dxa"/>
              <w:bottom w:w="100" w:type="dxa"/>
              <w:right w:w="100" w:type="dxa"/>
            </w:tcMar>
            <w:vAlign w:val="center"/>
          </w:tcPr>
          <w:p w14:paraId="493F7B4A">
            <w:pPr>
              <w:spacing w:after="0" w:line="240" w:lineRule="auto"/>
            </w:pPr>
            <w:r>
              <w:rPr>
                <w:rFonts w:ascii="Aptos" w:hAnsi="Aptos"/>
                <w:b/>
                <w:color w:val="27343D"/>
                <w:sz w:val="16"/>
              </w:rPr>
              <w:t>models/keras_lstm/temporal_schema.json</w:t>
            </w:r>
          </w:p>
        </w:tc>
        <w:tc>
          <w:tcPr>
            <w:tcW w:w="6336" w:type="dxa"/>
            <w:shd w:val="clear" w:color="auto" w:fill="F8FAFB"/>
            <w:tcMar>
              <w:top w:w="100" w:type="dxa"/>
              <w:left w:w="100" w:type="dxa"/>
              <w:bottom w:w="100" w:type="dxa"/>
              <w:right w:w="100" w:type="dxa"/>
            </w:tcMar>
            <w:vAlign w:val="center"/>
          </w:tcPr>
          <w:p w14:paraId="1180664C">
            <w:pPr>
              <w:spacing w:after="0" w:line="240" w:lineRule="auto"/>
            </w:pPr>
            <w:r>
              <w:rPr>
                <w:rFonts w:ascii="Aptos" w:hAnsi="Aptos"/>
                <w:b w:val="0"/>
                <w:color w:val="27343D"/>
                <w:sz w:val="16"/>
              </w:rPr>
              <w:t>Exact LSTM temporal input contract, when applicable.</w:t>
            </w:r>
          </w:p>
        </w:tc>
      </w:tr>
    </w:tbl>
    <w:p w14:paraId="1F810334">
      <w:pPr>
        <w:spacing w:after="0"/>
      </w:pPr>
    </w:p>
    <w:p w14:paraId="7A2CE80A">
      <w:pPr>
        <w:pStyle w:val="3"/>
        <w:keepNext/>
      </w:pPr>
      <w:r>
        <w:t>12.4 Step 4 — 04_evaluate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671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09E56B4">
            <w:pPr>
              <w:spacing w:after="0" w:line="240" w:lineRule="auto"/>
            </w:pPr>
            <w:r>
              <w:rPr>
                <w:b/>
              </w:rPr>
              <w:t>Artifact</w:t>
            </w:r>
          </w:p>
        </w:tc>
        <w:tc>
          <w:tcPr>
            <w:tcW w:w="5040" w:type="dxa"/>
            <w:vAlign w:val="center"/>
          </w:tcPr>
          <w:p w14:paraId="6ED58D4B">
            <w:pPr>
              <w:spacing w:after="0" w:line="240" w:lineRule="auto"/>
            </w:pPr>
            <w:r>
              <w:rPr>
                <w:b/>
              </w:rPr>
              <w:t>Use</w:t>
            </w:r>
          </w:p>
        </w:tc>
      </w:tr>
      <w:tr w14:paraId="3272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4B0CC2">
            <w:pPr>
              <w:spacing w:after="0" w:line="240" w:lineRule="auto"/>
            </w:pPr>
            <w:r>
              <w:t>model_metrics_train/test.csv</w:t>
            </w:r>
          </w:p>
        </w:tc>
        <w:tc>
          <w:tcPr>
            <w:tcW w:w="5040" w:type="dxa"/>
            <w:vAlign w:val="center"/>
          </w:tcPr>
          <w:p w14:paraId="7D1F698A">
            <w:pPr>
              <w:spacing w:after="0" w:line="240" w:lineRule="auto"/>
            </w:pPr>
            <w:r>
              <w:t>Base-model train/holdout performance.</w:t>
            </w:r>
          </w:p>
        </w:tc>
      </w:tr>
      <w:tr w14:paraId="3FF8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EB19C60">
            <w:pPr>
              <w:spacing w:after="0" w:line="240" w:lineRule="auto"/>
            </w:pPr>
            <w:r>
              <w:t>*_with_voting.csv</w:t>
            </w:r>
          </w:p>
        </w:tc>
        <w:tc>
          <w:tcPr>
            <w:tcW w:w="5040" w:type="dxa"/>
            <w:vAlign w:val="center"/>
          </w:tcPr>
          <w:p w14:paraId="37DDCE44">
            <w:pPr>
              <w:spacing w:after="0" w:line="240" w:lineRule="auto"/>
            </w:pPr>
            <w:r>
              <w:t>Adds the soft-voting ensemble where available.</w:t>
            </w:r>
          </w:p>
        </w:tc>
      </w:tr>
      <w:tr w14:paraId="2399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C4A04A8">
            <w:pPr>
              <w:spacing w:after="0" w:line="240" w:lineRule="auto"/>
            </w:pPr>
            <w:r>
              <w:t>selection_summary.json</w:t>
            </w:r>
          </w:p>
        </w:tc>
        <w:tc>
          <w:tcPr>
            <w:tcW w:w="5040" w:type="dxa"/>
            <w:vAlign w:val="center"/>
          </w:tcPr>
          <w:p w14:paraId="3B970795">
            <w:pPr>
              <w:spacing w:after="0" w:line="240" w:lineRule="auto"/>
            </w:pPr>
            <w:r>
              <w:t>Authoritative frozen strategy, labels, selected models, multipliers, rank thresholds, and per-class OOF reliability contract.</w:t>
            </w:r>
          </w:p>
        </w:tc>
      </w:tr>
      <w:tr w14:paraId="3ADD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8AA68B3">
            <w:pPr>
              <w:spacing w:after="0" w:line="240" w:lineRule="auto"/>
            </w:pPr>
            <w:r>
              <w:t>reports/*classification_report.csv</w:t>
            </w:r>
          </w:p>
        </w:tc>
        <w:tc>
          <w:tcPr>
            <w:tcW w:w="5040" w:type="dxa"/>
            <w:vAlign w:val="center"/>
          </w:tcPr>
          <w:p w14:paraId="01C9A1D1">
            <w:pPr>
              <w:spacing w:after="0" w:line="240" w:lineRule="auto"/>
            </w:pPr>
            <w:r>
              <w:t>Per-class precision/recall/F1/support.</w:t>
            </w:r>
          </w:p>
        </w:tc>
      </w:tr>
      <w:tr w14:paraId="19B9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EB1284">
            <w:pPr>
              <w:spacing w:after="0" w:line="240" w:lineRule="auto"/>
            </w:pPr>
            <w:r>
              <w:t>confusion_matrices/*</w:t>
            </w:r>
          </w:p>
        </w:tc>
        <w:tc>
          <w:tcPr>
            <w:tcW w:w="5040" w:type="dxa"/>
            <w:vAlign w:val="center"/>
          </w:tcPr>
          <w:p w14:paraId="4AFA2555">
            <w:pPr>
              <w:spacing w:after="0" w:line="240" w:lineRule="auto"/>
            </w:pPr>
            <w:r>
              <w:t>Shows which true classes are being confused.</w:t>
            </w:r>
          </w:p>
        </w:tc>
      </w:tr>
      <w:tr w14:paraId="22F8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1A75D3F">
            <w:pPr>
              <w:spacing w:after="0" w:line="240" w:lineRule="auto"/>
            </w:pPr>
            <w:r>
              <w:t>ranking/*</w:t>
            </w:r>
          </w:p>
        </w:tc>
        <w:tc>
          <w:tcPr>
            <w:tcW w:w="5040" w:type="dxa"/>
            <w:vAlign w:val="center"/>
          </w:tcPr>
          <w:p w14:paraId="1191FB8C">
            <w:pPr>
              <w:spacing w:after="0" w:line="240" w:lineRule="auto"/>
            </w:pPr>
            <w:r>
              <w:t>Probability-average/median and rank-average/median parcel diagnostics.</w:t>
            </w:r>
          </w:p>
        </w:tc>
      </w:tr>
      <w:tr w14:paraId="49F0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FE682A">
            <w:pPr>
              <w:spacing w:after="0" w:line="240" w:lineRule="auto"/>
            </w:pPr>
            <w:r>
              <w:t>confidence/rank_confidence_test.csv</w:t>
            </w:r>
          </w:p>
        </w:tc>
        <w:tc>
          <w:tcPr>
            <w:tcW w:w="5040" w:type="dxa"/>
            <w:vAlign w:val="center"/>
          </w:tcPr>
          <w:p w14:paraId="49E3AF7E">
            <w:pPr>
              <w:spacing w:after="0" w:line="240" w:lineRule="auto"/>
            </w:pPr>
            <w:r>
              <w:t>Holdout parcel-level rank evidence, class reliability and final H/M/L.</w:t>
            </w:r>
          </w:p>
        </w:tc>
      </w:tr>
      <w:tr w14:paraId="6290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5093A6">
            <w:pPr>
              <w:spacing w:after="0" w:line="240" w:lineRule="auto"/>
            </w:pPr>
            <w:r>
              <w:t>confidence/rank_confidence_oof.csv</w:t>
            </w:r>
          </w:p>
        </w:tc>
        <w:tc>
          <w:tcPr>
            <w:tcW w:w="5040" w:type="dxa"/>
            <w:vAlign w:val="center"/>
          </w:tcPr>
          <w:p w14:paraId="3F0EDA00">
            <w:pPr>
              <w:spacing w:after="0" w:line="240" w:lineRule="auto"/>
            </w:pPr>
            <w:r>
              <w:t>OOF parcel-level evidence used to build/describe class reliability; not independent validation.</w:t>
            </w:r>
          </w:p>
        </w:tc>
      </w:tr>
      <w:tr w14:paraId="0BC6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44D09B">
            <w:pPr>
              <w:spacing w:after="0" w:line="240" w:lineRule="auto"/>
            </w:pPr>
            <w:r>
              <w:t>confidence/class_reliability_oof.csv</w:t>
            </w:r>
          </w:p>
        </w:tc>
        <w:tc>
          <w:tcPr>
            <w:tcW w:w="5040" w:type="dxa"/>
            <w:vAlign w:val="center"/>
          </w:tcPr>
          <w:p w14:paraId="2AE046DF">
            <w:pPr>
              <w:spacing w:after="0" w:line="240" w:lineRule="auto"/>
            </w:pPr>
            <w:r>
              <w:t>One row per class: OOF prediction support, correct count, precision, reliability level and validity.</w:t>
            </w:r>
          </w:p>
        </w:tc>
      </w:tr>
      <w:tr w14:paraId="0AC5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AB32B5">
            <w:pPr>
              <w:spacing w:after="0" w:line="240" w:lineRule="auto"/>
            </w:pPr>
            <w:r>
              <w:t>confidence/confidence_level_metrics_test.csv</w:t>
            </w:r>
          </w:p>
        </w:tc>
        <w:tc>
          <w:tcPr>
            <w:tcW w:w="5040" w:type="dxa"/>
            <w:vAlign w:val="center"/>
          </w:tcPr>
          <w:p w14:paraId="58ED215F">
            <w:pPr>
              <w:spacing w:after="0" w:line="240" w:lineRule="auto"/>
            </w:pPr>
            <w:r>
              <w:t>Holdout accuracy, error rate and coverage for HIGH / MEDIUM / LOW.</w:t>
            </w:r>
          </w:p>
        </w:tc>
      </w:tr>
      <w:tr w14:paraId="4310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8A0002">
            <w:pPr>
              <w:spacing w:after="0" w:line="240" w:lineRule="auto"/>
            </w:pPr>
            <w:r>
              <w:t>confidence/confidence_level_metrics_oof.csv</w:t>
            </w:r>
          </w:p>
        </w:tc>
        <w:tc>
          <w:tcPr>
            <w:tcW w:w="5040" w:type="dxa"/>
            <w:vAlign w:val="center"/>
          </w:tcPr>
          <w:p w14:paraId="0BDABFFE">
            <w:pPr>
              <w:spacing w:after="0" w:line="240" w:lineRule="auto"/>
            </w:pPr>
            <w:r>
              <w:t>OOF confidence distribution and correctness summary.</w:t>
            </w:r>
          </w:p>
        </w:tc>
      </w:tr>
      <w:tr w14:paraId="6B2A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D48D13">
            <w:pPr>
              <w:spacing w:after="0" w:line="240" w:lineRule="auto"/>
            </w:pPr>
            <w:r>
              <w:t>confidence/confidence_by_class_test.csv</w:t>
            </w:r>
          </w:p>
        </w:tc>
        <w:tc>
          <w:tcPr>
            <w:tcW w:w="5040" w:type="dxa"/>
            <w:vAlign w:val="center"/>
          </w:tcPr>
          <w:p w14:paraId="1027CEFC">
            <w:pPr>
              <w:spacing w:after="0" w:line="240" w:lineRule="auto"/>
            </w:pPr>
            <w:r>
              <w:t>Holdout confidence accuracy by predicted class, with OOF vs test class precision.</w:t>
            </w:r>
          </w:p>
        </w:tc>
      </w:tr>
      <w:tr w14:paraId="5E08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809237">
            <w:pPr>
              <w:spacing w:after="0" w:line="240" w:lineRule="auto"/>
            </w:pPr>
            <w:r>
              <w:t>interpretability/*</w:t>
            </w:r>
          </w:p>
        </w:tc>
        <w:tc>
          <w:tcPr>
            <w:tcW w:w="5040" w:type="dxa"/>
            <w:vAlign w:val="center"/>
          </w:tcPr>
          <w:p w14:paraId="7A92B6CB">
            <w:pPr>
              <w:spacing w:after="0" w:line="240" w:lineRule="auto"/>
            </w:pPr>
            <w:r>
              <w:t>Feature importance and optional SHAP for top models.</w:t>
            </w:r>
          </w:p>
        </w:tc>
      </w:tr>
    </w:tbl>
    <w:p w14:paraId="17647DE0">
      <w:pPr>
        <w:spacing w:after="0"/>
      </w:pPr>
    </w:p>
    <w:p w14:paraId="21213B2D">
      <w:pPr>
        <w:pStyle w:val="3"/>
        <w:keepNext/>
      </w:pPr>
      <w:r>
        <w:t>12.5 Step 5 — 05_predict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37D2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32" w:type="dxa"/>
            <w:shd w:val="clear" w:color="auto" w:fill="17324D"/>
            <w:tcMar>
              <w:top w:w="100" w:type="dxa"/>
              <w:left w:w="100" w:type="dxa"/>
              <w:bottom w:w="100" w:type="dxa"/>
              <w:right w:w="100" w:type="dxa"/>
            </w:tcMar>
            <w:vAlign w:val="center"/>
          </w:tcPr>
          <w:p w14:paraId="0FEEC21E">
            <w:pPr>
              <w:spacing w:after="0" w:line="240" w:lineRule="auto"/>
              <w:jc w:val="center"/>
            </w:pPr>
            <w:r>
              <w:rPr>
                <w:rFonts w:ascii="Aptos" w:hAnsi="Aptos"/>
                <w:b/>
                <w:color w:val="FFFFFF"/>
                <w:sz w:val="16"/>
              </w:rPr>
              <w:t>Artifact</w:t>
            </w:r>
          </w:p>
        </w:tc>
        <w:tc>
          <w:tcPr>
            <w:tcW w:w="6192" w:type="dxa"/>
            <w:shd w:val="clear" w:color="auto" w:fill="17324D"/>
            <w:tcMar>
              <w:top w:w="100" w:type="dxa"/>
              <w:left w:w="100" w:type="dxa"/>
              <w:bottom w:w="100" w:type="dxa"/>
              <w:right w:w="100" w:type="dxa"/>
            </w:tcMar>
            <w:vAlign w:val="center"/>
          </w:tcPr>
          <w:p w14:paraId="0ED49FE0">
            <w:pPr>
              <w:spacing w:after="0" w:line="240" w:lineRule="auto"/>
              <w:jc w:val="center"/>
            </w:pPr>
            <w:r>
              <w:rPr>
                <w:rFonts w:ascii="Aptos" w:hAnsi="Aptos"/>
                <w:b/>
                <w:color w:val="FFFFFF"/>
                <w:sz w:val="16"/>
              </w:rPr>
              <w:t>Use</w:t>
            </w:r>
          </w:p>
        </w:tc>
      </w:tr>
      <w:tr w14:paraId="5BFF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316515FA">
            <w:pPr>
              <w:spacing w:after="0" w:line="240" w:lineRule="auto"/>
            </w:pPr>
            <w:r>
              <w:rPr>
                <w:rFonts w:ascii="Aptos" w:hAnsi="Aptos"/>
                <w:b/>
                <w:color w:val="27343D"/>
                <w:sz w:val="16"/>
              </w:rPr>
              <w:t>final_predictions.joblib</w:t>
            </w:r>
          </w:p>
        </w:tc>
        <w:tc>
          <w:tcPr>
            <w:tcW w:w="6192" w:type="dxa"/>
            <w:tcMar>
              <w:top w:w="100" w:type="dxa"/>
              <w:left w:w="100" w:type="dxa"/>
              <w:bottom w:w="100" w:type="dxa"/>
              <w:right w:w="100" w:type="dxa"/>
            </w:tcMar>
            <w:vAlign w:val="center"/>
          </w:tcPr>
          <w:p w14:paraId="08C1DD93">
            <w:pPr>
              <w:spacing w:after="0" w:line="240" w:lineRule="auto"/>
            </w:pPr>
            <w:r>
              <w:rPr>
                <w:rFonts w:ascii="Aptos" w:hAnsi="Aptos"/>
                <w:b w:val="0"/>
                <w:color w:val="27343D"/>
                <w:sz w:val="16"/>
              </w:rPr>
              <w:t>Complete final DataFrame/GeoDataFrame with all original columns, prediction, probabilities and confidence diagnostics.</w:t>
            </w:r>
          </w:p>
        </w:tc>
      </w:tr>
      <w:tr w14:paraId="7F97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62F25454">
            <w:pPr>
              <w:spacing w:after="0" w:line="240" w:lineRule="auto"/>
            </w:pPr>
            <w:r>
              <w:rPr>
                <w:rFonts w:ascii="Aptos" w:hAnsi="Aptos"/>
                <w:b/>
                <w:color w:val="27343D"/>
                <w:sz w:val="16"/>
              </w:rPr>
              <w:t>final_predictions_preview.csv</w:t>
            </w:r>
          </w:p>
        </w:tc>
        <w:tc>
          <w:tcPr>
            <w:tcW w:w="6192" w:type="dxa"/>
            <w:shd w:val="clear" w:color="auto" w:fill="F8FAFB"/>
            <w:tcMar>
              <w:top w:w="100" w:type="dxa"/>
              <w:left w:w="100" w:type="dxa"/>
              <w:bottom w:w="100" w:type="dxa"/>
              <w:right w:w="100" w:type="dxa"/>
            </w:tcMar>
            <w:vAlign w:val="center"/>
          </w:tcPr>
          <w:p w14:paraId="5D3A52BE">
            <w:pPr>
              <w:spacing w:after="0" w:line="240" w:lineRule="auto"/>
            </w:pPr>
            <w:r>
              <w:rPr>
                <w:rFonts w:ascii="Aptos" w:hAnsi="Aptos"/>
                <w:b w:val="0"/>
                <w:color w:val="27343D"/>
                <w:sz w:val="16"/>
              </w:rPr>
              <w:t>Compact human-readable prediction extract.</w:t>
            </w:r>
          </w:p>
        </w:tc>
      </w:tr>
      <w:tr w14:paraId="5403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6F2A586D">
            <w:pPr>
              <w:spacing w:after="0" w:line="240" w:lineRule="auto"/>
            </w:pPr>
            <w:r>
              <w:rPr>
                <w:rFonts w:ascii="Aptos" w:hAnsi="Aptos"/>
                <w:b/>
                <w:color w:val="27343D"/>
                <w:sz w:val="16"/>
              </w:rPr>
              <w:t>predict_summary.json</w:t>
            </w:r>
          </w:p>
        </w:tc>
        <w:tc>
          <w:tcPr>
            <w:tcW w:w="6192" w:type="dxa"/>
            <w:tcMar>
              <w:top w:w="100" w:type="dxa"/>
              <w:left w:w="100" w:type="dxa"/>
              <w:bottom w:w="100" w:type="dxa"/>
              <w:right w:w="100" w:type="dxa"/>
            </w:tcMar>
            <w:vAlign w:val="center"/>
          </w:tcPr>
          <w:p w14:paraId="26A1A524">
            <w:pPr>
              <w:spacing w:after="0" w:line="240" w:lineRule="auto"/>
            </w:pPr>
            <w:r>
              <w:rPr>
                <w:rFonts w:ascii="Aptos" w:hAnsi="Aptos"/>
                <w:b w:val="0"/>
                <w:color w:val="27343D"/>
                <w:sz w:val="16"/>
              </w:rPr>
              <w:t>Counts, selected strategy, confidence distribution and output path.</w:t>
            </w:r>
          </w:p>
        </w:tc>
      </w:tr>
      <w:tr w14:paraId="59CB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B"/>
            <w:tcMar>
              <w:top w:w="100" w:type="dxa"/>
              <w:left w:w="100" w:type="dxa"/>
              <w:bottom w:w="100" w:type="dxa"/>
              <w:right w:w="100" w:type="dxa"/>
            </w:tcMar>
            <w:vAlign w:val="center"/>
          </w:tcPr>
          <w:p w14:paraId="269E7B3A">
            <w:pPr>
              <w:spacing w:after="0" w:line="240" w:lineRule="auto"/>
            </w:pPr>
            <w:r>
              <w:rPr>
                <w:rFonts w:ascii="Aptos" w:hAnsi="Aptos"/>
                <w:b/>
                <w:color w:val="27343D"/>
                <w:sz w:val="16"/>
              </w:rPr>
              <w:t>plots/filled_target_distribution.png</w:t>
            </w:r>
          </w:p>
        </w:tc>
        <w:tc>
          <w:tcPr>
            <w:tcW w:w="6192" w:type="dxa"/>
            <w:shd w:val="clear" w:color="auto" w:fill="F8FAFB"/>
            <w:tcMar>
              <w:top w:w="100" w:type="dxa"/>
              <w:left w:w="100" w:type="dxa"/>
              <w:bottom w:w="100" w:type="dxa"/>
              <w:right w:w="100" w:type="dxa"/>
            </w:tcMar>
            <w:vAlign w:val="center"/>
          </w:tcPr>
          <w:p w14:paraId="72A62DDC">
            <w:pPr>
              <w:spacing w:after="0" w:line="240" w:lineRule="auto"/>
            </w:pPr>
            <w:r>
              <w:rPr>
                <w:rFonts w:ascii="Aptos" w:hAnsi="Aptos"/>
                <w:b w:val="0"/>
                <w:color w:val="27343D"/>
                <w:sz w:val="16"/>
              </w:rPr>
              <w:t>Shows how unknown labels changed the complete target distribution.</w:t>
            </w:r>
          </w:p>
        </w:tc>
      </w:tr>
      <w:tr w14:paraId="6A49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Mar>
              <w:top w:w="100" w:type="dxa"/>
              <w:left w:w="100" w:type="dxa"/>
              <w:bottom w:w="100" w:type="dxa"/>
              <w:right w:w="100" w:type="dxa"/>
            </w:tcMar>
            <w:vAlign w:val="center"/>
          </w:tcPr>
          <w:p w14:paraId="05FF7C60">
            <w:pPr>
              <w:spacing w:after="0" w:line="240" w:lineRule="auto"/>
            </w:pPr>
            <w:r>
              <w:rPr>
                <w:rFonts w:ascii="Aptos" w:hAnsi="Aptos"/>
                <w:b/>
                <w:color w:val="27343D"/>
                <w:sz w:val="16"/>
              </w:rPr>
              <w:t>plots/predicted_labels_map.png</w:t>
            </w:r>
          </w:p>
        </w:tc>
        <w:tc>
          <w:tcPr>
            <w:tcW w:w="6192" w:type="dxa"/>
            <w:tcMar>
              <w:top w:w="100" w:type="dxa"/>
              <w:left w:w="100" w:type="dxa"/>
              <w:bottom w:w="100" w:type="dxa"/>
              <w:right w:w="100" w:type="dxa"/>
            </w:tcMar>
            <w:vAlign w:val="center"/>
          </w:tcPr>
          <w:p w14:paraId="4DAF5EA3">
            <w:pPr>
              <w:spacing w:after="0" w:line="240" w:lineRule="auto"/>
            </w:pPr>
            <w:r>
              <w:rPr>
                <w:rFonts w:ascii="Aptos" w:hAnsi="Aptos"/>
                <w:b w:val="0"/>
                <w:color w:val="27343D"/>
                <w:sz w:val="16"/>
              </w:rPr>
              <w:t>Spatial view of final/filled labels when geometry is available.</w:t>
            </w:r>
          </w:p>
        </w:tc>
      </w:tr>
    </w:tbl>
    <w:p w14:paraId="02BF7AF0">
      <w:pPr>
        <w:spacing w:after="0"/>
      </w:pPr>
    </w:p>
    <w:p w14:paraId="4BEE6DCF">
      <w:pPr>
        <w:pStyle w:val="2"/>
        <w:keepNext/>
      </w:pPr>
      <w:r>
        <w:t>13. How to interpret the main outputs</w:t>
      </w:r>
    </w:p>
    <w:p w14:paraId="74A95F2F">
      <w:pPr>
        <w:pStyle w:val="3"/>
        <w:keepNext/>
      </w:pPr>
      <w:r>
        <w:t>13.1 Model selection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7D2D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17324D"/>
            <w:tcMar>
              <w:top w:w="100" w:type="dxa"/>
              <w:left w:w="100" w:type="dxa"/>
              <w:bottom w:w="100" w:type="dxa"/>
              <w:right w:w="100" w:type="dxa"/>
            </w:tcMar>
            <w:vAlign w:val="center"/>
          </w:tcPr>
          <w:p w14:paraId="4E2A607B">
            <w:pPr>
              <w:spacing w:after="0" w:line="240" w:lineRule="auto"/>
              <w:jc w:val="center"/>
            </w:pPr>
            <w:r>
              <w:rPr>
                <w:rFonts w:ascii="Aptos" w:hAnsi="Aptos"/>
                <w:b/>
                <w:color w:val="FFFFFF"/>
                <w:sz w:val="17"/>
              </w:rPr>
              <w:t>Field / plot</w:t>
            </w:r>
          </w:p>
        </w:tc>
        <w:tc>
          <w:tcPr>
            <w:tcW w:w="6840" w:type="dxa"/>
            <w:shd w:val="clear" w:color="auto" w:fill="17324D"/>
            <w:tcMar>
              <w:top w:w="100" w:type="dxa"/>
              <w:left w:w="100" w:type="dxa"/>
              <w:bottom w:w="100" w:type="dxa"/>
              <w:right w:w="100" w:type="dxa"/>
            </w:tcMar>
            <w:vAlign w:val="center"/>
          </w:tcPr>
          <w:p w14:paraId="383B6400">
            <w:pPr>
              <w:spacing w:after="0" w:line="240" w:lineRule="auto"/>
              <w:jc w:val="center"/>
            </w:pPr>
            <w:r>
              <w:rPr>
                <w:rFonts w:ascii="Aptos" w:hAnsi="Aptos"/>
                <w:b/>
                <w:color w:val="FFFFFF"/>
                <w:sz w:val="17"/>
              </w:rPr>
              <w:t>Interpretation guide</w:t>
            </w:r>
          </w:p>
        </w:tc>
      </w:tr>
      <w:tr w14:paraId="2E0D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35287956">
            <w:pPr>
              <w:spacing w:after="0" w:line="240" w:lineRule="auto"/>
            </w:pPr>
            <w:r>
              <w:rPr>
                <w:rFonts w:ascii="Aptos" w:hAnsi="Aptos"/>
                <w:b/>
                <w:color w:val="27343D"/>
                <w:sz w:val="17"/>
              </w:rPr>
              <w:t>best_cv_score</w:t>
            </w:r>
          </w:p>
        </w:tc>
        <w:tc>
          <w:tcPr>
            <w:tcW w:w="6840" w:type="dxa"/>
            <w:tcMar>
              <w:top w:w="100" w:type="dxa"/>
              <w:left w:w="100" w:type="dxa"/>
              <w:bottom w:w="100" w:type="dxa"/>
              <w:right w:w="100" w:type="dxa"/>
            </w:tcMar>
            <w:vAlign w:val="center"/>
          </w:tcPr>
          <w:p w14:paraId="04E4601A">
            <w:pPr>
              <w:spacing w:after="0" w:line="240" w:lineRule="auto"/>
            </w:pPr>
            <w:r>
              <w:rPr>
                <w:rFonts w:ascii="Aptos" w:hAnsi="Aptos"/>
                <w:b w:val="0"/>
                <w:color w:val="27343D"/>
                <w:sz w:val="17"/>
              </w:rPr>
              <w:t>Mean validation performance of the winning hyperparameter setting for that model.</w:t>
            </w:r>
          </w:p>
        </w:tc>
      </w:tr>
      <w:tr w14:paraId="7BC6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1720CBFD">
            <w:pPr>
              <w:spacing w:after="0" w:line="240" w:lineRule="auto"/>
            </w:pPr>
            <w:r>
              <w:rPr>
                <w:rFonts w:ascii="Aptos" w:hAnsi="Aptos"/>
                <w:b/>
                <w:color w:val="27343D"/>
                <w:sz w:val="17"/>
              </w:rPr>
              <w:t>cv_score_std</w:t>
            </w:r>
          </w:p>
        </w:tc>
        <w:tc>
          <w:tcPr>
            <w:tcW w:w="6840" w:type="dxa"/>
            <w:shd w:val="clear" w:color="auto" w:fill="F8FAFB"/>
            <w:tcMar>
              <w:top w:w="100" w:type="dxa"/>
              <w:left w:w="100" w:type="dxa"/>
              <w:bottom w:w="100" w:type="dxa"/>
              <w:right w:w="100" w:type="dxa"/>
            </w:tcMar>
            <w:vAlign w:val="center"/>
          </w:tcPr>
          <w:p w14:paraId="5A8BFCCB">
            <w:pPr>
              <w:spacing w:after="0" w:line="240" w:lineRule="auto"/>
            </w:pPr>
            <w:r>
              <w:rPr>
                <w:rFonts w:ascii="Aptos" w:hAnsi="Aptos"/>
                <w:b w:val="0"/>
                <w:color w:val="27343D"/>
                <w:sz w:val="17"/>
              </w:rPr>
              <w:t>Fold-to-fold instability. Lower is better, all else equal.</w:t>
            </w:r>
          </w:p>
        </w:tc>
      </w:tr>
      <w:tr w14:paraId="5F95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0397D0BC">
            <w:pPr>
              <w:spacing w:after="0" w:line="240" w:lineRule="auto"/>
            </w:pPr>
            <w:r>
              <w:rPr>
                <w:rFonts w:ascii="Aptos" w:hAnsi="Aptos"/>
                <w:b/>
                <w:color w:val="27343D"/>
                <w:sz w:val="17"/>
              </w:rPr>
              <w:t>cv_ranking_metric</w:t>
            </w:r>
          </w:p>
        </w:tc>
        <w:tc>
          <w:tcPr>
            <w:tcW w:w="6840" w:type="dxa"/>
            <w:tcMar>
              <w:top w:w="100" w:type="dxa"/>
              <w:left w:w="100" w:type="dxa"/>
              <w:bottom w:w="100" w:type="dxa"/>
              <w:right w:w="100" w:type="dxa"/>
            </w:tcMar>
            <w:vAlign w:val="center"/>
          </w:tcPr>
          <w:p w14:paraId="3CFFCA10">
            <w:pPr>
              <w:spacing w:after="0" w:line="240" w:lineRule="auto"/>
            </w:pPr>
            <w:r>
              <w:rPr>
                <w:rFonts w:ascii="Aptos" w:hAnsi="Aptos"/>
                <w:b w:val="0"/>
                <w:color w:val="27343D"/>
                <w:sz w:val="17"/>
              </w:rPr>
              <w:t>Actual value used to rank/select models. With score_minus_std it rewards performance and stability.</w:t>
            </w:r>
          </w:p>
        </w:tc>
      </w:tr>
      <w:tr w14:paraId="16B5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16635EF9">
            <w:pPr>
              <w:spacing w:after="0" w:line="240" w:lineRule="auto"/>
            </w:pPr>
            <w:r>
              <w:rPr>
                <w:rFonts w:ascii="Aptos" w:hAnsi="Aptos"/>
                <w:b/>
                <w:color w:val="27343D"/>
                <w:sz w:val="17"/>
              </w:rPr>
              <w:t>model_metrics_test.csv</w:t>
            </w:r>
          </w:p>
        </w:tc>
        <w:tc>
          <w:tcPr>
            <w:tcW w:w="6840" w:type="dxa"/>
            <w:shd w:val="clear" w:color="auto" w:fill="F8FAFB"/>
            <w:tcMar>
              <w:top w:w="100" w:type="dxa"/>
              <w:left w:w="100" w:type="dxa"/>
              <w:bottom w:w="100" w:type="dxa"/>
              <w:right w:w="100" w:type="dxa"/>
            </w:tcMar>
            <w:vAlign w:val="center"/>
          </w:tcPr>
          <w:p w14:paraId="1536229D">
            <w:pPr>
              <w:spacing w:after="0" w:line="240" w:lineRule="auto"/>
            </w:pPr>
            <w:r>
              <w:rPr>
                <w:rFonts w:ascii="Aptos" w:hAnsi="Aptos"/>
                <w:b w:val="0"/>
                <w:color w:val="27343D"/>
                <w:sz w:val="17"/>
              </w:rPr>
              <w:t>Unbiased holdout comparison. Prefer macro-F1 / balanced accuracy when class imbalance matters.</w:t>
            </w:r>
          </w:p>
        </w:tc>
      </w:tr>
      <w:tr w14:paraId="5E9A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6039D29A">
            <w:pPr>
              <w:spacing w:after="0" w:line="240" w:lineRule="auto"/>
            </w:pPr>
            <w:r>
              <w:rPr>
                <w:rFonts w:ascii="Aptos" w:hAnsi="Aptos"/>
                <w:b/>
                <w:color w:val="27343D"/>
                <w:sz w:val="17"/>
              </w:rPr>
              <w:t>confusion matrix</w:t>
            </w:r>
          </w:p>
        </w:tc>
        <w:tc>
          <w:tcPr>
            <w:tcW w:w="6840" w:type="dxa"/>
            <w:tcMar>
              <w:top w:w="100" w:type="dxa"/>
              <w:left w:w="100" w:type="dxa"/>
              <w:bottom w:w="100" w:type="dxa"/>
              <w:right w:w="100" w:type="dxa"/>
            </w:tcMar>
            <w:vAlign w:val="center"/>
          </w:tcPr>
          <w:p w14:paraId="5EC141F8">
            <w:pPr>
              <w:spacing w:after="0" w:line="240" w:lineRule="auto"/>
            </w:pPr>
            <w:r>
              <w:rPr>
                <w:rFonts w:ascii="Aptos" w:hAnsi="Aptos"/>
                <w:b w:val="0"/>
                <w:color w:val="27343D"/>
                <w:sz w:val="17"/>
              </w:rPr>
              <w:t>Rows are true labels and columns predicted labels (as generated by sklearn plotting). Look for systematic off-diagonal blocks.</w:t>
            </w:r>
          </w:p>
        </w:tc>
      </w:tr>
      <w:tr w14:paraId="355A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5A6A5AA2">
            <w:pPr>
              <w:spacing w:after="0" w:line="240" w:lineRule="auto"/>
            </w:pPr>
            <w:r>
              <w:rPr>
                <w:rFonts w:ascii="Aptos" w:hAnsi="Aptos"/>
                <w:b/>
                <w:color w:val="27343D"/>
                <w:sz w:val="17"/>
              </w:rPr>
              <w:t>classification report</w:t>
            </w:r>
          </w:p>
        </w:tc>
        <w:tc>
          <w:tcPr>
            <w:tcW w:w="6840" w:type="dxa"/>
            <w:shd w:val="clear" w:color="auto" w:fill="F8FAFB"/>
            <w:tcMar>
              <w:top w:w="100" w:type="dxa"/>
              <w:left w:w="100" w:type="dxa"/>
              <w:bottom w:w="100" w:type="dxa"/>
              <w:right w:w="100" w:type="dxa"/>
            </w:tcMar>
            <w:vAlign w:val="center"/>
          </w:tcPr>
          <w:p w14:paraId="2F23B6BA">
            <w:pPr>
              <w:spacing w:after="0" w:line="240" w:lineRule="auto"/>
            </w:pPr>
            <w:r>
              <w:rPr>
                <w:rFonts w:ascii="Aptos" w:hAnsi="Aptos"/>
                <w:b w:val="0"/>
                <w:color w:val="27343D"/>
                <w:sz w:val="17"/>
              </w:rPr>
              <w:t>Inspect per-class recall/F1, not only overall averages.</w:t>
            </w:r>
          </w:p>
        </w:tc>
      </w:tr>
    </w:tbl>
    <w:p w14:paraId="4C44EA2C">
      <w:pPr>
        <w:spacing w:after="0"/>
      </w:pPr>
    </w:p>
    <w:p w14:paraId="72D11ACF">
      <w:pPr>
        <w:pStyle w:val="3"/>
        <w:keepNext/>
      </w:pPr>
      <w:r>
        <w:t>13.2 Confidence output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A27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C054159">
            <w:pPr>
              <w:spacing w:after="0" w:line="240" w:lineRule="auto"/>
            </w:pPr>
            <w:r>
              <w:rPr>
                <w:b/>
              </w:rPr>
              <w:t>Column</w:t>
            </w:r>
          </w:p>
        </w:tc>
        <w:tc>
          <w:tcPr>
            <w:tcW w:w="5040" w:type="dxa"/>
            <w:vAlign w:val="center"/>
          </w:tcPr>
          <w:p w14:paraId="2F823081">
            <w:pPr>
              <w:spacing w:after="0" w:line="240" w:lineRule="auto"/>
            </w:pPr>
            <w:r>
              <w:rPr>
                <w:b/>
              </w:rPr>
              <w:t>How to read it</w:t>
            </w:r>
          </w:p>
        </w:tc>
      </w:tr>
      <w:tr w14:paraId="4DB8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84AF478">
            <w:pPr>
              <w:spacing w:after="0" w:line="240" w:lineRule="auto"/>
            </w:pPr>
            <w:r>
              <w:t>prediction_max_probability</w:t>
            </w:r>
          </w:p>
        </w:tc>
        <w:tc>
          <w:tcPr>
            <w:tcW w:w="5040" w:type="dxa"/>
            <w:vAlign w:val="center"/>
          </w:tcPr>
          <w:p w14:paraId="2BCE1C05">
            <w:pPr>
              <w:spacing w:after="0" w:line="240" w:lineRule="auto"/>
            </w:pPr>
            <w:r>
              <w:t>Largest final soft-voting probability. Diagnostic only; it is not the H/M/L confidence calculation.</w:t>
            </w:r>
          </w:p>
        </w:tc>
      </w:tr>
      <w:tr w14:paraId="3F1D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7D64E35">
            <w:pPr>
              <w:spacing w:after="0" w:line="240" w:lineRule="auto"/>
            </w:pPr>
            <w:r>
              <w:t>prediction_confidence_level</w:t>
            </w:r>
          </w:p>
        </w:tc>
        <w:tc>
          <w:tcPr>
            <w:tcW w:w="5040" w:type="dxa"/>
            <w:vAlign w:val="center"/>
          </w:tcPr>
          <w:p w14:paraId="5AE429F4">
            <w:pPr>
              <w:spacing w:after="0" w:line="240" w:lineRule="auto"/>
            </w:pPr>
            <w:r>
              <w:t>Primary final user-facing HIGH / MEDIUM / LOW after combining parcel rank confidence and class reliability.</w:t>
            </w:r>
          </w:p>
        </w:tc>
      </w:tr>
      <w:tr w14:paraId="0931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269D864">
            <w:pPr>
              <w:spacing w:after="0" w:line="240" w:lineRule="auto"/>
            </w:pPr>
            <w:r>
              <w:t>prediction_confidence_valid</w:t>
            </w:r>
          </w:p>
        </w:tc>
        <w:tc>
          <w:tcPr>
            <w:tcW w:w="5040" w:type="dxa"/>
            <w:vAlign w:val="center"/>
          </w:tcPr>
          <w:p w14:paraId="54D37AE7">
            <w:pPr>
              <w:spacing w:after="0" w:line="240" w:lineRule="auto"/>
            </w:pPr>
            <w:r>
              <w:t>False when rank evidence or class reliability is insufficient/invalid; invalid rows are final LOW.</w:t>
            </w:r>
          </w:p>
        </w:tc>
      </w:tr>
      <w:tr w14:paraId="2B1A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4D5893">
            <w:pPr>
              <w:spacing w:after="0" w:line="240" w:lineRule="auto"/>
            </w:pPr>
            <w:r>
              <w:t>prediction_confidence_reason</w:t>
            </w:r>
          </w:p>
        </w:tc>
        <w:tc>
          <w:tcPr>
            <w:tcW w:w="5040" w:type="dxa"/>
            <w:vAlign w:val="center"/>
          </w:tcPr>
          <w:p w14:paraId="44778875">
            <w:pPr>
              <w:spacing w:after="0" w:line="240" w:lineRule="auto"/>
            </w:pPr>
            <w:r>
              <w:t>Short explanation of what limited confidence.</w:t>
            </w:r>
          </w:p>
        </w:tc>
      </w:tr>
      <w:tr w14:paraId="73DC1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AA1D84B">
            <w:pPr>
              <w:spacing w:after="0" w:line="240" w:lineRule="auto"/>
            </w:pPr>
            <w:r>
              <w:t>prediction_mean_borda</w:t>
            </w:r>
          </w:p>
        </w:tc>
        <w:tc>
          <w:tcPr>
            <w:tcW w:w="5040" w:type="dxa"/>
            <w:vAlign w:val="center"/>
          </w:tcPr>
          <w:p w14:paraId="5D5A6BF8">
            <w:pPr>
              <w:spacing w:after="0" w:line="240" w:lineRule="auto"/>
            </w:pPr>
            <w:r>
              <w:t>0–100 average Borda support for the final soft-voting class. Higher means models usually rank that class near the top.</w:t>
            </w:r>
          </w:p>
        </w:tc>
      </w:tr>
      <w:tr w14:paraId="0EAE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BE2DE76">
            <w:pPr>
              <w:spacing w:after="0" w:line="240" w:lineRule="auto"/>
            </w:pPr>
            <w:r>
              <w:t>prediction_rank_range</w:t>
            </w:r>
          </w:p>
        </w:tc>
        <w:tc>
          <w:tcPr>
            <w:tcW w:w="5040" w:type="dxa"/>
            <w:vAlign w:val="center"/>
          </w:tcPr>
          <w:p w14:paraId="47D17C0C">
            <w:pPr>
              <w:spacing w:after="0" w:line="240" w:lineRule="auto"/>
            </w:pPr>
            <w:r>
              <w:t>Highest minus lowest rank assigned to the final class across selected models. Smaller means more consistent agreement.</w:t>
            </w:r>
          </w:p>
        </w:tc>
      </w:tr>
      <w:tr w14:paraId="551B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20CA9D2">
            <w:pPr>
              <w:spacing w:after="0" w:line="240" w:lineRule="auto"/>
            </w:pPr>
            <w:r>
              <w:t>prediction_borda_winner</w:t>
            </w:r>
          </w:p>
        </w:tc>
        <w:tc>
          <w:tcPr>
            <w:tcW w:w="5040" w:type="dxa"/>
            <w:vAlign w:val="center"/>
          </w:tcPr>
          <w:p w14:paraId="4F7CFA15">
            <w:pPr>
              <w:spacing w:after="0" w:line="240" w:lineRule="auto"/>
            </w:pPr>
            <w:r>
              <w:t>Class with the highest aggregate Borda score.</w:t>
            </w:r>
          </w:p>
        </w:tc>
      </w:tr>
      <w:tr w14:paraId="4F1E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7232ED4">
            <w:pPr>
              <w:spacing w:after="0" w:line="240" w:lineRule="auto"/>
            </w:pPr>
            <w:r>
              <w:t>prediction_borda_winner_tied</w:t>
            </w:r>
          </w:p>
        </w:tc>
        <w:tc>
          <w:tcPr>
            <w:tcW w:w="5040" w:type="dxa"/>
            <w:vAlign w:val="center"/>
          </w:tcPr>
          <w:p w14:paraId="2233C373">
            <w:pPr>
              <w:spacing w:after="0" w:line="240" w:lineRule="auto"/>
            </w:pPr>
            <w:r>
              <w:t>True if multiple classes tie for the highest Borda score; rank confidence becomes LOW.</w:t>
            </w:r>
          </w:p>
        </w:tc>
      </w:tr>
      <w:tr w14:paraId="59E7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5EFD458">
            <w:pPr>
              <w:spacing w:after="0" w:line="240" w:lineRule="auto"/>
            </w:pPr>
            <w:r>
              <w:t>prediction_rank_agrees_with_final</w:t>
            </w:r>
          </w:p>
        </w:tc>
        <w:tc>
          <w:tcPr>
            <w:tcW w:w="5040" w:type="dxa"/>
            <w:vAlign w:val="center"/>
          </w:tcPr>
          <w:p w14:paraId="52FE3813">
            <w:pPr>
              <w:spacing w:after="0" w:line="240" w:lineRule="auto"/>
            </w:pPr>
            <w:r>
              <w:t>True when Borda winner equals the soft-voting label. False forces rank confidence LOW.</w:t>
            </w:r>
          </w:p>
        </w:tc>
      </w:tr>
      <w:tr w14:paraId="1BD5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ED9E257">
            <w:pPr>
              <w:spacing w:after="0" w:line="240" w:lineRule="auto"/>
            </w:pPr>
            <w:r>
              <w:t>prediction_rank_confidence_level</w:t>
            </w:r>
          </w:p>
        </w:tc>
        <w:tc>
          <w:tcPr>
            <w:tcW w:w="5040" w:type="dxa"/>
            <w:vAlign w:val="center"/>
          </w:tcPr>
          <w:p w14:paraId="24A8EF63">
            <w:pPr>
              <w:spacing w:after="0" w:line="240" w:lineRule="auto"/>
            </w:pPr>
            <w:r>
              <w:t>Parcel-only H/M/L based on mean Borda, rank range, Borda winner/tie and minimum model count.</w:t>
            </w:r>
          </w:p>
        </w:tc>
      </w:tr>
      <w:tr w14:paraId="7E40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C0DD7C">
            <w:pPr>
              <w:spacing w:after="0" w:line="240" w:lineRule="auto"/>
            </w:pPr>
            <w:r>
              <w:t>prediction_class_oof_precision</w:t>
            </w:r>
          </w:p>
        </w:tc>
        <w:tc>
          <w:tcPr>
            <w:tcW w:w="5040" w:type="dxa"/>
            <w:vAlign w:val="center"/>
          </w:tcPr>
          <w:p w14:paraId="05BAE013">
            <w:pPr>
              <w:spacing w:after="0" w:line="240" w:lineRule="auto"/>
            </w:pPr>
            <w:r>
              <w:t>Frozen OOF precision of the predicted class: when OOF soft voting predicted this class, fraction that were correct.</w:t>
            </w:r>
          </w:p>
        </w:tc>
      </w:tr>
      <w:tr w14:paraId="0179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C7ACD7">
            <w:pPr>
              <w:spacing w:after="0" w:line="240" w:lineRule="auto"/>
            </w:pPr>
            <w:r>
              <w:t>prediction_class_oof_support</w:t>
            </w:r>
          </w:p>
        </w:tc>
        <w:tc>
          <w:tcPr>
            <w:tcW w:w="5040" w:type="dxa"/>
            <w:vAlign w:val="center"/>
          </w:tcPr>
          <w:p w14:paraId="63DD5152">
            <w:pPr>
              <w:spacing w:after="0" w:line="240" w:lineRule="auto"/>
            </w:pPr>
            <w:r>
              <w:t>Number of OOF predictions used for that class precision. Default minimum support is 100.</w:t>
            </w:r>
          </w:p>
        </w:tc>
      </w:tr>
      <w:tr w14:paraId="3BD6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D3E9F0">
            <w:pPr>
              <w:spacing w:after="0" w:line="240" w:lineRule="auto"/>
            </w:pPr>
            <w:r>
              <w:t>prediction_class_reliability_level</w:t>
            </w:r>
          </w:p>
        </w:tc>
        <w:tc>
          <w:tcPr>
            <w:tcW w:w="5040" w:type="dxa"/>
            <w:vAlign w:val="center"/>
          </w:tcPr>
          <w:p w14:paraId="2B9C463F">
            <w:pPr>
              <w:spacing w:after="0" w:line="240" w:lineRule="auto"/>
            </w:pPr>
            <w:r>
              <w:t>H/M/L derived from OOF precision: HIGH ≥ 0.80, MEDIUM ≥ 0.60, otherwise LOW, if support is sufficient.</w:t>
            </w:r>
          </w:p>
        </w:tc>
      </w:tr>
      <w:tr w14:paraId="58E9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8DD80E">
            <w:pPr>
              <w:spacing w:after="0" w:line="240" w:lineRule="auto"/>
            </w:pPr>
            <w:r>
              <w:t>prediction_class_reliability_valid</w:t>
            </w:r>
          </w:p>
        </w:tc>
        <w:tc>
          <w:tcPr>
            <w:tcW w:w="5040" w:type="dxa"/>
            <w:vAlign w:val="center"/>
          </w:tcPr>
          <w:p w14:paraId="45FCC1BA">
            <w:pPr>
              <w:spacing w:after="0" w:line="240" w:lineRule="auto"/>
            </w:pPr>
            <w:r>
              <w:t>False when the class has insufficient OOF prediction support.</w:t>
            </w:r>
          </w:p>
        </w:tc>
      </w:tr>
      <w:tr w14:paraId="3495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909BC0B">
            <w:pPr>
              <w:spacing w:after="0" w:line="240" w:lineRule="auto"/>
            </w:pPr>
            <w:r>
              <w:t>prediction_class_reliability_reason</w:t>
            </w:r>
          </w:p>
        </w:tc>
        <w:tc>
          <w:tcPr>
            <w:tcW w:w="5040" w:type="dxa"/>
            <w:vAlign w:val="center"/>
          </w:tcPr>
          <w:p w14:paraId="67374D79">
            <w:pPr>
              <w:spacing w:after="0" w:line="240" w:lineRule="auto"/>
            </w:pPr>
            <w:r>
              <w:t>Why the class reliability level/validity was assigned.</w:t>
            </w:r>
          </w:p>
        </w:tc>
      </w:tr>
      <w:tr w14:paraId="4E2B7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3479417">
            <w:pPr>
              <w:spacing w:after="0" w:line="240" w:lineRule="auto"/>
            </w:pPr>
            <w:r>
              <w:t>rank_top1_agreement / rank_top2_agreement</w:t>
            </w:r>
          </w:p>
        </w:tc>
        <w:tc>
          <w:tcPr>
            <w:tcW w:w="5040" w:type="dxa"/>
            <w:vAlign w:val="center"/>
          </w:tcPr>
          <w:p w14:paraId="1E6748AA">
            <w:pPr>
              <w:spacing w:after="0" w:line="240" w:lineRule="auto"/>
            </w:pPr>
            <w:r>
              <w:t>Useful diagnostics retained for analysis; they do not directly determine the simplified H/M/L rule.</w:t>
            </w:r>
          </w:p>
        </w:tc>
      </w:tr>
      <w:tr w14:paraId="3468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2023240">
            <w:pPr>
              <w:spacing w:after="0" w:line="240" w:lineRule="auto"/>
            </w:pPr>
            <w:r>
              <w:t>prediction_needs_review</w:t>
            </w:r>
          </w:p>
        </w:tc>
        <w:tc>
          <w:tcPr>
            <w:tcW w:w="5040" w:type="dxa"/>
            <w:vAlign w:val="center"/>
          </w:tcPr>
          <w:p w14:paraId="73753893">
            <w:pPr>
              <w:spacing w:after="0" w:line="240" w:lineRule="auto"/>
            </w:pPr>
            <w:r>
              <w:t>True when final confidence is LOW or invalid.</w:t>
            </w:r>
          </w:p>
        </w:tc>
      </w:tr>
    </w:tbl>
    <w:p w14:paraId="41B6B4C6">
      <w:pPr>
        <w:spacing w:after="0"/>
      </w:pPr>
    </w:p>
    <w:p w14:paraId="3D1314AB">
      <w:pPr>
        <w:pStyle w:val="3"/>
        <w:keepNext/>
      </w:pPr>
      <w:r>
        <w:t>13.3 Interpreting confidence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D6B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CF7862">
            <w:pPr>
              <w:spacing w:after="0" w:line="240" w:lineRule="auto"/>
            </w:pPr>
            <w:r>
              <w:rPr>
                <w:b/>
              </w:rPr>
              <w:t>Question</w:t>
            </w:r>
          </w:p>
        </w:tc>
        <w:tc>
          <w:tcPr>
            <w:tcW w:w="5040" w:type="dxa"/>
            <w:vAlign w:val="center"/>
          </w:tcPr>
          <w:p w14:paraId="36C72CC7">
            <w:pPr>
              <w:spacing w:after="0" w:line="240" w:lineRule="auto"/>
            </w:pPr>
            <w:r>
              <w:rPr>
                <w:b/>
              </w:rPr>
              <w:t>What to inspect</w:t>
            </w:r>
          </w:p>
        </w:tc>
      </w:tr>
      <w:tr w14:paraId="515B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527975C">
            <w:pPr>
              <w:spacing w:after="0" w:line="240" w:lineRule="auto"/>
            </w:pPr>
            <w:r>
              <w:t>Does confidence add value?</w:t>
            </w:r>
          </w:p>
        </w:tc>
        <w:tc>
          <w:tcPr>
            <w:tcW w:w="5040" w:type="dxa"/>
            <w:vAlign w:val="center"/>
          </w:tcPr>
          <w:p w14:paraId="5E3F4ADA">
            <w:pPr>
              <w:spacing w:after="0" w:line="240" w:lineRule="auto"/>
            </w:pPr>
            <w:r>
              <w:t>In confidence_level_metrics_test.csv, check that holdout accuracy(HIGH) &gt; accuracy(MEDIUM) &gt; accuracy(LOW).</w:t>
            </w:r>
          </w:p>
        </w:tc>
      </w:tr>
      <w:tr w14:paraId="640EF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5B5D3AA">
            <w:pPr>
              <w:spacing w:after="0" w:line="240" w:lineRule="auto"/>
            </w:pPr>
            <w:r>
              <w:t>Why is a parcel LOW even though all models agree?</w:t>
            </w:r>
          </w:p>
        </w:tc>
        <w:tc>
          <w:tcPr>
            <w:tcW w:w="5040" w:type="dxa"/>
            <w:vAlign w:val="center"/>
          </w:tcPr>
          <w:p w14:paraId="01AA6568">
            <w:pPr>
              <w:spacing w:after="0" w:line="240" w:lineRule="auto"/>
            </w:pPr>
            <w:r>
              <w:t>Check prediction_class_oof_precision and prediction_class_reliability_level. The predicted class may be systematically difficult.</w:t>
            </w:r>
          </w:p>
        </w:tc>
      </w:tr>
      <w:tr w14:paraId="279B1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0B2392D">
            <w:pPr>
              <w:spacing w:after="0" w:line="240" w:lineRule="auto"/>
            </w:pPr>
            <w:r>
              <w:t>Why is a reliable class only MEDIUM/LOW for this parcel?</w:t>
            </w:r>
          </w:p>
        </w:tc>
        <w:tc>
          <w:tcPr>
            <w:tcW w:w="5040" w:type="dxa"/>
            <w:vAlign w:val="center"/>
          </w:tcPr>
          <w:p w14:paraId="49E8B412">
            <w:pPr>
              <w:spacing w:after="0" w:line="240" w:lineRule="auto"/>
            </w:pPr>
            <w:r>
              <w:t>Check prediction_mean_borda, prediction_rank_range and whether Borda winner agrees with soft voting. Parcel-level evidence may be weak.</w:t>
            </w:r>
          </w:p>
        </w:tc>
      </w:tr>
      <w:tr w14:paraId="2CD0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69304D2">
            <w:pPr>
              <w:spacing w:after="0" w:line="240" w:lineRule="auto"/>
            </w:pPr>
            <w:r>
              <w:t>Is class reliability well supported?</w:t>
            </w:r>
          </w:p>
        </w:tc>
        <w:tc>
          <w:tcPr>
            <w:tcW w:w="5040" w:type="dxa"/>
            <w:vAlign w:val="center"/>
          </w:tcPr>
          <w:p w14:paraId="781A4003">
            <w:pPr>
              <w:spacing w:after="0" w:line="240" w:lineRule="auto"/>
            </w:pPr>
            <w:r>
              <w:t>Check prediction_class_oof_support. Below the minimum support (default 100), class reliability is invalid and LOW.</w:t>
            </w:r>
          </w:p>
        </w:tc>
      </w:tr>
      <w:tr w14:paraId="53BE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3320395">
            <w:pPr>
              <w:spacing w:after="0" w:line="240" w:lineRule="auto"/>
            </w:pPr>
            <w:r>
              <w:t>Can I treat prediction_max_probability as confidence?</w:t>
            </w:r>
          </w:p>
        </w:tc>
        <w:tc>
          <w:tcPr>
            <w:tcW w:w="5040" w:type="dxa"/>
            <w:vAlign w:val="center"/>
          </w:tcPr>
          <w:p w14:paraId="06D77996">
            <w:pPr>
              <w:spacing w:after="0" w:line="240" w:lineRule="auto"/>
            </w:pPr>
            <w:r>
              <w:t>No. It is a diagnostic of soft voting, not a calibrated probability of correctness.</w:t>
            </w:r>
          </w:p>
        </w:tc>
      </w:tr>
      <w:tr w14:paraId="4568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8B27945">
            <w:pPr>
              <w:spacing w:after="0" w:line="240" w:lineRule="auto"/>
            </w:pPr>
            <w:r>
              <w:t>Can I trust OOF class precision as final validation?</w:t>
            </w:r>
          </w:p>
        </w:tc>
        <w:tc>
          <w:tcPr>
            <w:tcW w:w="5040" w:type="dxa"/>
            <w:vAlign w:val="center"/>
          </w:tcPr>
          <w:p w14:paraId="76CF246E">
            <w:pPr>
              <w:spacing w:after="0" w:line="240" w:lineRule="auto"/>
            </w:pPr>
            <w:r>
              <w:t>OOF precision builds the reliability guard; use the untouched holdout metrics for independent confirmation.</w:t>
            </w:r>
          </w:p>
        </w:tc>
      </w:tr>
    </w:tbl>
    <w:p w14:paraId="035B7DEA">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4B828741">
        <w:tblPrEx>
          <w:tblCellMar>
            <w:top w:w="0" w:type="dxa"/>
            <w:left w:w="108" w:type="dxa"/>
            <w:bottom w:w="0" w:type="dxa"/>
            <w:right w:w="108" w:type="dxa"/>
          </w:tblCellMar>
        </w:tblPrEx>
        <w:trPr>
          <w:jc w:val="center"/>
        </w:trPr>
        <w:tc>
          <w:tcPr>
            <w:tcW w:w="10080" w:type="dxa"/>
            <w:shd w:val="clear" w:color="auto" w:fill="F3F6F8"/>
            <w:tcMar>
              <w:top w:w="130" w:type="dxa"/>
              <w:left w:w="160" w:type="dxa"/>
              <w:bottom w:w="130" w:type="dxa"/>
              <w:right w:w="160" w:type="dxa"/>
            </w:tcMar>
          </w:tcPr>
          <w:p w14:paraId="6F7A3C1B">
            <w:pPr>
              <w:spacing w:after="40"/>
            </w:pPr>
            <w:r>
              <w:rPr>
                <w:rFonts w:ascii="Aptos" w:hAnsi="Aptos"/>
                <w:b/>
                <w:color w:val="2E6F9E"/>
                <w:sz w:val="20"/>
              </w:rPr>
              <w:t xml:space="preserve">Practical reading order  </w:t>
            </w:r>
            <w:r>
              <w:rPr>
                <w:rFonts w:ascii="Aptos" w:hAnsi="Aptos"/>
                <w:color w:val="27343D"/>
                <w:sz w:val="20"/>
              </w:rPr>
              <w:t>For a new run: open report_index.html → Step 1 quality → Step 2 split → Step 3 CV ranking → Step 4 holdout metrics/confusion → Step 4 confidence holdout table → Step 5 final predictions.</w:t>
            </w:r>
          </w:p>
        </w:tc>
      </w:tr>
    </w:tbl>
    <w:p w14:paraId="672C9798">
      <w:pPr>
        <w:spacing w:after="0"/>
      </w:pPr>
    </w:p>
    <w:p w14:paraId="2F5CBA3A">
      <w:pPr>
        <w:pStyle w:val="2"/>
        <w:keepNext/>
      </w:pPr>
      <w:r>
        <w:t>14. Advanced and optional features</w:t>
      </w:r>
    </w:p>
    <w:p w14:paraId="3CADD384">
      <w:pPr>
        <w:pStyle w:val="3"/>
        <w:keepNext/>
      </w:pPr>
      <w:r>
        <w:t>14.1 Label balancing</w:t>
      </w:r>
    </w:p>
    <w:p w14:paraId="76AAA5F5">
      <w:pPr>
        <w:pStyle w:val="13"/>
      </w:pPr>
      <w:r>
        <w:rPr>
          <w:rFonts w:ascii="Aptos" w:hAnsi="Aptos"/>
        </w:rPr>
        <w:t>The pipeline supports no balancing, random oversampling, or SMOTE. Balancing is applied inside model fitting/CV so validation rows are not synthetically duplicated. LSTM has a separate balanced class-weight option. Always judge balancing by per-class holdout metrics, not by training performance.</w:t>
      </w:r>
    </w:p>
    <w:p w14:paraId="28505EF3">
      <w:pPr>
        <w:pStyle w:val="3"/>
        <w:keepNext/>
      </w:pPr>
      <w:r>
        <w:t>14.2 LSTM temporal classification</w:t>
      </w:r>
    </w:p>
    <w:p w14:paraId="7F9CD96F">
      <w:pPr>
        <w:pStyle w:val="13"/>
      </w:pPr>
      <w:r>
        <w:rPr>
          <w:rFonts w:ascii="Aptos" w:hAnsi="Aptos"/>
        </w:rPr>
        <w:t>The optional Keras LSTM interprets temporal feature columns as an ordered sequence. Configuration controls which statistics are temporal, whether timesteps must be complete, expected frequency, minimum timesteps, architecture size, dropout and bidirectionality. The winning temporal schema is saved so production input matches training.</w:t>
      </w:r>
    </w:p>
    <w:p w14:paraId="65D3BFDF">
      <w:pPr>
        <w:pStyle w:val="3"/>
        <w:keepNext/>
      </w:pPr>
      <w:r>
        <w:t>14.3 Feature importance and SHAP</w:t>
      </w:r>
    </w:p>
    <w:p w14:paraId="5F20D496">
      <w:pPr>
        <w:pStyle w:val="13"/>
      </w:pPr>
      <w:r>
        <w:rPr>
          <w:rFonts w:ascii="Aptos" w:hAnsi="Aptos"/>
        </w:rPr>
        <w:t>Tree-based top models can export feature importance. SHAP is opt-in because it is heavier computationally. These tools explain associations used by a fitted model; they do not prove causal relationships between an EO index and a crop class.</w:t>
      </w:r>
    </w:p>
    <w:p w14:paraId="4C76037D">
      <w:pPr>
        <w:pStyle w:val="3"/>
        <w:keepNext/>
      </w:pPr>
      <w:r>
        <w:t>14.4 Incremental training and filtered evaluation</w:t>
      </w:r>
    </w:p>
    <w:p w14:paraId="72BBB40F">
      <w:pPr>
        <w:pStyle w:val="13"/>
      </w:pPr>
      <w:r>
        <w:rPr>
          <w:rFonts w:ascii="Aptos" w:hAnsi="Aptos"/>
        </w:rPr>
        <w:t>The training stage can detect reusable model artifacts and skip models that are already fully trained. selected_models can also restrict which models are active/evaluated, while force_retrain_models forces retraining when needed. This supports iterative experimentation without discarding all prior work.</w:t>
      </w:r>
    </w:p>
    <w:p w14:paraId="50A98FA1">
      <w:pPr>
        <w:pStyle w:val="3"/>
        <w:keepNext/>
      </w:pPr>
      <w:r>
        <w:t>14.5 Restartable artifact contracts</w:t>
      </w:r>
    </w:p>
    <w:p w14:paraId="6B0CF9D7">
      <w:pPr>
        <w:pStyle w:val="13"/>
      </w:pPr>
      <w:r>
        <w:rPr>
          <w:rFonts w:ascii="Aptos" w:hAnsi="Aptos"/>
        </w:rPr>
        <w:t>Each step persists the context required by the next one and writes schema metadata. This architecture improves auditability, reproducibility and recovery from interruptions. If artifacts are manually edited, however, frozen contracts such as selection_summary.json can become inconsistent; treat them as controlled pipeline outputs.</w:t>
      </w:r>
    </w:p>
    <w:p w14:paraId="7153EC42">
      <w:r>
        <w:br w:type="page"/>
      </w:r>
    </w:p>
    <w:p w14:paraId="7BF67107">
      <w:pPr>
        <w:pStyle w:val="2"/>
        <w:keepNext/>
      </w:pPr>
      <w:r>
        <w:t>15. Operational runbook</w:t>
      </w:r>
    </w:p>
    <w:p w14:paraId="0BD1370B">
      <w:pPr>
        <w:pStyle w:val="3"/>
        <w:keepNext/>
      </w:pPr>
      <w:r>
        <w:t>15.1 Minimal execution sequence</w:t>
      </w:r>
    </w:p>
    <w:tbl>
      <w:tblPr>
        <w:tblStyle w:val="12"/>
        <w:tblW w:w="0" w:type="auto"/>
        <w:jc w:val="center"/>
        <w:tblLayout w:type="autofit"/>
        <w:tblCellMar>
          <w:top w:w="0" w:type="dxa"/>
          <w:left w:w="108" w:type="dxa"/>
          <w:bottom w:w="0" w:type="dxa"/>
          <w:right w:w="108" w:type="dxa"/>
        </w:tblCellMar>
      </w:tblPr>
      <w:tblGrid>
        <w:gridCol w:w="10080"/>
      </w:tblGrid>
      <w:tr w14:paraId="3A622267">
        <w:tblPrEx>
          <w:tblCellMar>
            <w:top w:w="0" w:type="dxa"/>
            <w:left w:w="108" w:type="dxa"/>
            <w:bottom w:w="0" w:type="dxa"/>
            <w:right w:w="108" w:type="dxa"/>
          </w:tblCellMar>
        </w:tblPrEx>
        <w:trPr>
          <w:jc w:val="center"/>
        </w:trPr>
        <w:tc>
          <w:tcPr>
            <w:tcW w:w="10080" w:type="dxa"/>
            <w:shd w:val="clear" w:color="auto" w:fill="F6F8FA"/>
            <w:tcMar>
              <w:top w:w="120" w:type="dxa"/>
              <w:left w:w="140" w:type="dxa"/>
              <w:bottom w:w="120" w:type="dxa"/>
              <w:right w:w="140" w:type="dxa"/>
            </w:tcMar>
          </w:tcPr>
          <w:p w14:paraId="4E1CEA91">
            <w:r>
              <w:rPr>
                <w:rFonts w:ascii="Consolas" w:hAnsi="Consolas"/>
                <w:color w:val="27343D"/>
                <w:sz w:val="16"/>
              </w:rPr>
              <w:t>from ml_classification_pipeline import (</w:t>
            </w:r>
            <w:r>
              <w:br w:type="textWrapping"/>
            </w:r>
            <w:r>
              <w:rPr>
                <w:rFonts w:ascii="Consolas" w:hAnsi="Consolas"/>
                <w:color w:val="27343D"/>
                <w:sz w:val="16"/>
              </w:rPr>
              <w:t xml:space="preserve">    GeospatialClassificationPipeline,</w:t>
            </w:r>
            <w:r>
              <w:br w:type="textWrapping"/>
            </w:r>
            <w:r>
              <w:rPr>
                <w:rFonts w:ascii="Consolas" w:hAnsi="Consolas"/>
                <w:color w:val="27343D"/>
                <w:sz w:val="16"/>
              </w:rPr>
              <w:t xml:space="preserve">    ClassificationPipelineConfig,</w:t>
            </w:r>
            <w:r>
              <w:br w:type="textWrapping"/>
            </w:r>
            <w:r>
              <w:rPr>
                <w:rFonts w:ascii="Consolas" w:hAnsi="Consolas"/>
                <w:color w:val="27343D"/>
                <w:sz w:val="16"/>
              </w:rPr>
              <w:t>)</w:t>
            </w:r>
            <w:r>
              <w:br w:type="textWrapping"/>
            </w:r>
            <w:r>
              <w:br w:type="textWrapping"/>
            </w:r>
            <w:r>
              <w:rPr>
                <w:rFonts w:ascii="Consolas" w:hAnsi="Consolas"/>
                <w:color w:val="27343D"/>
                <w:sz w:val="16"/>
              </w:rPr>
              <w:t>config = ClassificationPipelineConfig(</w:t>
            </w:r>
            <w:r>
              <w:br w:type="textWrapping"/>
            </w:r>
            <w:r>
              <w:rPr>
                <w:rFonts w:ascii="Consolas" w:hAnsi="Consolas"/>
                <w:color w:val="27343D"/>
                <w:sz w:val="16"/>
              </w:rPr>
              <w:t xml:space="preserve">    project_dir="my_project",</w:t>
            </w:r>
            <w:r>
              <w:br w:type="textWrapping"/>
            </w:r>
            <w:r>
              <w:rPr>
                <w:rFonts w:ascii="Consolas" w:hAnsi="Consolas"/>
                <w:color w:val="27343D"/>
                <w:sz w:val="16"/>
              </w:rPr>
              <w:t xml:space="preserve">    target_column="class",</w:t>
            </w:r>
            <w:r>
              <w:br w:type="textWrapping"/>
            </w:r>
            <w:r>
              <w:rPr>
                <w:rFonts w:ascii="Consolas" w:hAnsi="Consolas"/>
                <w:color w:val="27343D"/>
                <w:sz w:val="16"/>
              </w:rPr>
              <w:t xml:space="preserve">    id_column="parcel_id",</w:t>
            </w:r>
            <w:r>
              <w:br w:type="textWrapping"/>
            </w:r>
            <w:r>
              <w:rPr>
                <w:rFonts w:ascii="Consolas" w:hAnsi="Consolas"/>
                <w:color w:val="27343D"/>
                <w:sz w:val="16"/>
              </w:rPr>
              <w:t xml:space="preserve">    feature_columns=features,</w:t>
            </w:r>
            <w:r>
              <w:br w:type="textWrapping"/>
            </w:r>
            <w:r>
              <w:rPr>
                <w:rFonts w:ascii="Consolas" w:hAnsi="Consolas"/>
                <w:color w:val="27343D"/>
                <w:sz w:val="16"/>
              </w:rPr>
              <w:t xml:space="preserve">    spatial_split=True,</w:t>
            </w:r>
            <w:r>
              <w:br w:type="textWrapping"/>
            </w:r>
            <w:r>
              <w:rPr>
                <w:rFonts w:ascii="Consolas" w:hAnsi="Consolas"/>
                <w:color w:val="27343D"/>
                <w:sz w:val="16"/>
              </w:rPr>
              <w:t xml:space="preserve">    spatial_split_method="by_group",</w:t>
            </w:r>
            <w:r>
              <w:br w:type="textWrapping"/>
            </w:r>
            <w:r>
              <w:rPr>
                <w:rFonts w:ascii="Consolas" w:hAnsi="Consolas"/>
                <w:color w:val="27343D"/>
                <w:sz w:val="16"/>
              </w:rPr>
              <w:t xml:space="preserve">    selection_type="soft_voting",</w:t>
            </w:r>
            <w:r>
              <w:br w:type="textWrapping"/>
            </w:r>
            <w:r>
              <w:rPr>
                <w:rFonts w:ascii="Consolas" w:hAnsi="Consolas"/>
                <w:color w:val="27343D"/>
                <w:sz w:val="16"/>
              </w:rPr>
              <w:t xml:space="preserve">    rank_confidence_enabled=True,</w:t>
            </w:r>
            <w:r>
              <w:br w:type="textWrapping"/>
            </w:r>
            <w:r>
              <w:rPr>
                <w:rFonts w:ascii="Consolas" w:hAnsi="Consolas"/>
                <w:color w:val="27343D"/>
                <w:sz w:val="16"/>
              </w:rPr>
              <w:t>)</w:t>
            </w:r>
            <w:r>
              <w:br w:type="textWrapping"/>
            </w:r>
            <w:r>
              <w:br w:type="textWrapping"/>
            </w:r>
            <w:r>
              <w:rPr>
                <w:rFonts w:ascii="Consolas" w:hAnsi="Consolas"/>
                <w:color w:val="27343D"/>
                <w:sz w:val="16"/>
              </w:rPr>
              <w:t>pipeline = GeospatialClassificationPipeline(config)</w:t>
            </w:r>
            <w:r>
              <w:br w:type="textWrapping"/>
            </w:r>
            <w:r>
              <w:rPr>
                <w:rFonts w:ascii="Consolas" w:hAnsi="Consolas"/>
                <w:color w:val="27343D"/>
                <w:sz w:val="16"/>
              </w:rPr>
              <w:t>pipeline.run_check(df)</w:t>
            </w:r>
            <w:r>
              <w:br w:type="textWrapping"/>
            </w:r>
            <w:r>
              <w:rPr>
                <w:rFonts w:ascii="Consolas" w:hAnsi="Consolas"/>
                <w:color w:val="27343D"/>
                <w:sz w:val="16"/>
              </w:rPr>
              <w:t>pipeline.run_prepare()</w:t>
            </w:r>
            <w:r>
              <w:br w:type="textWrapping"/>
            </w:r>
            <w:r>
              <w:rPr>
                <w:rFonts w:ascii="Consolas" w:hAnsi="Consolas"/>
                <w:color w:val="27343D"/>
                <w:sz w:val="16"/>
              </w:rPr>
              <w:t>pipeline.run_train()</w:t>
            </w:r>
            <w:r>
              <w:br w:type="textWrapping"/>
            </w:r>
            <w:r>
              <w:rPr>
                <w:rFonts w:ascii="Consolas" w:hAnsi="Consolas"/>
                <w:color w:val="27343D"/>
                <w:sz w:val="16"/>
              </w:rPr>
              <w:t>pipeline.run_evaluate()</w:t>
            </w:r>
            <w:r>
              <w:br w:type="textWrapping"/>
            </w:r>
            <w:r>
              <w:rPr>
                <w:rFonts w:ascii="Consolas" w:hAnsi="Consolas"/>
                <w:color w:val="27343D"/>
                <w:sz w:val="16"/>
              </w:rPr>
              <w:t>pipeline.run_predict()</w:t>
            </w:r>
          </w:p>
        </w:tc>
      </w:tr>
    </w:tbl>
    <w:p w14:paraId="5CB6BAEC">
      <w:pPr>
        <w:spacing w:after="0"/>
      </w:pPr>
    </w:p>
    <w:p w14:paraId="30220F72">
      <w:pPr>
        <w:pStyle w:val="3"/>
        <w:keepNext/>
      </w:pPr>
      <w:r>
        <w:t>15.2 Recommended human checkpoints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0376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17324D"/>
            <w:tcMar>
              <w:top w:w="100" w:type="dxa"/>
              <w:left w:w="100" w:type="dxa"/>
              <w:bottom w:w="100" w:type="dxa"/>
              <w:right w:w="100" w:type="dxa"/>
            </w:tcMar>
            <w:vAlign w:val="center"/>
          </w:tcPr>
          <w:p w14:paraId="6BC4ABDE">
            <w:pPr>
              <w:spacing w:after="0" w:line="240" w:lineRule="auto"/>
              <w:jc w:val="center"/>
            </w:pPr>
            <w:r>
              <w:rPr>
                <w:rFonts w:ascii="Aptos" w:hAnsi="Aptos"/>
                <w:b/>
                <w:color w:val="FFFFFF"/>
                <w:sz w:val="17"/>
              </w:rPr>
              <w:t>After step</w:t>
            </w:r>
          </w:p>
        </w:tc>
        <w:tc>
          <w:tcPr>
            <w:tcW w:w="8424" w:type="dxa"/>
            <w:shd w:val="clear" w:color="auto" w:fill="17324D"/>
            <w:tcMar>
              <w:top w:w="100" w:type="dxa"/>
              <w:left w:w="100" w:type="dxa"/>
              <w:bottom w:w="100" w:type="dxa"/>
              <w:right w:w="100" w:type="dxa"/>
            </w:tcMar>
            <w:vAlign w:val="center"/>
          </w:tcPr>
          <w:p w14:paraId="49A51573">
            <w:pPr>
              <w:spacing w:after="0" w:line="240" w:lineRule="auto"/>
              <w:jc w:val="center"/>
            </w:pPr>
            <w:r>
              <w:rPr>
                <w:rFonts w:ascii="Aptos" w:hAnsi="Aptos"/>
                <w:b/>
                <w:color w:val="FFFFFF"/>
                <w:sz w:val="17"/>
              </w:rPr>
              <w:t>Before continuing, confirm…</w:t>
            </w:r>
          </w:p>
        </w:tc>
      </w:tr>
      <w:tr w14:paraId="64B1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06035A69">
            <w:pPr>
              <w:spacing w:after="0" w:line="240" w:lineRule="auto"/>
            </w:pPr>
            <w:r>
              <w:rPr>
                <w:rFonts w:ascii="Aptos" w:hAnsi="Aptos"/>
                <w:b/>
                <w:color w:val="27343D"/>
                <w:sz w:val="17"/>
              </w:rPr>
              <w:t>CHECK</w:t>
            </w:r>
          </w:p>
        </w:tc>
        <w:tc>
          <w:tcPr>
            <w:tcW w:w="8424" w:type="dxa"/>
            <w:tcMar>
              <w:top w:w="100" w:type="dxa"/>
              <w:left w:w="100" w:type="dxa"/>
              <w:bottom w:w="100" w:type="dxa"/>
              <w:right w:w="100" w:type="dxa"/>
            </w:tcMar>
            <w:vAlign w:val="center"/>
          </w:tcPr>
          <w:p w14:paraId="2780D1D0">
            <w:pPr>
              <w:spacing w:after="0" w:line="240" w:lineRule="auto"/>
            </w:pPr>
            <w:r>
              <w:rPr>
                <w:rFonts w:ascii="Aptos" w:hAnsi="Aptos"/>
                <w:b w:val="0"/>
                <w:color w:val="27343D"/>
                <w:sz w:val="17"/>
              </w:rPr>
              <w:t>Row counts are correct; active features make sense; no catastrophic missingness; label map/distribution is plausible.</w:t>
            </w:r>
          </w:p>
        </w:tc>
      </w:tr>
      <w:tr w14:paraId="5A2E5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B"/>
            <w:tcMar>
              <w:top w:w="100" w:type="dxa"/>
              <w:left w:w="100" w:type="dxa"/>
              <w:bottom w:w="100" w:type="dxa"/>
              <w:right w:w="100" w:type="dxa"/>
            </w:tcMar>
            <w:vAlign w:val="center"/>
          </w:tcPr>
          <w:p w14:paraId="5BEBCD8D">
            <w:pPr>
              <w:spacing w:after="0" w:line="240" w:lineRule="auto"/>
            </w:pPr>
            <w:r>
              <w:rPr>
                <w:rFonts w:ascii="Aptos" w:hAnsi="Aptos"/>
                <w:b/>
                <w:color w:val="27343D"/>
                <w:sz w:val="17"/>
              </w:rPr>
              <w:t>PREPARE</w:t>
            </w:r>
          </w:p>
        </w:tc>
        <w:tc>
          <w:tcPr>
            <w:tcW w:w="8424" w:type="dxa"/>
            <w:shd w:val="clear" w:color="auto" w:fill="F8FAFB"/>
            <w:tcMar>
              <w:top w:w="100" w:type="dxa"/>
              <w:left w:w="100" w:type="dxa"/>
              <w:bottom w:w="100" w:type="dxa"/>
              <w:right w:w="100" w:type="dxa"/>
            </w:tcMar>
            <w:vAlign w:val="center"/>
          </w:tcPr>
          <w:p w14:paraId="0FCC6380">
            <w:pPr>
              <w:spacing w:after="0" w:line="240" w:lineRule="auto"/>
            </w:pPr>
            <w:r>
              <w:rPr>
                <w:rFonts w:ascii="Aptos" w:hAnsi="Aptos"/>
                <w:b w:val="0"/>
                <w:color w:val="27343D"/>
                <w:sz w:val="17"/>
              </w:rPr>
              <w:t>All classes exist in train/test; spatial partition is appropriate; feature distributions do not show unexplained shift.</w:t>
            </w:r>
          </w:p>
        </w:tc>
      </w:tr>
      <w:tr w14:paraId="0916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71C4EEFD">
            <w:pPr>
              <w:spacing w:after="0" w:line="240" w:lineRule="auto"/>
            </w:pPr>
            <w:r>
              <w:rPr>
                <w:rFonts w:ascii="Aptos" w:hAnsi="Aptos"/>
                <w:b/>
                <w:color w:val="27343D"/>
                <w:sz w:val="17"/>
              </w:rPr>
              <w:t>TRAIN</w:t>
            </w:r>
          </w:p>
        </w:tc>
        <w:tc>
          <w:tcPr>
            <w:tcW w:w="8424" w:type="dxa"/>
            <w:tcMar>
              <w:top w:w="100" w:type="dxa"/>
              <w:left w:w="100" w:type="dxa"/>
              <w:bottom w:w="100" w:type="dxa"/>
              <w:right w:w="100" w:type="dxa"/>
            </w:tcMar>
            <w:vAlign w:val="center"/>
          </w:tcPr>
          <w:p w14:paraId="748E5535">
            <w:pPr>
              <w:spacing w:after="0" w:line="240" w:lineRule="auto"/>
            </w:pPr>
            <w:r>
              <w:rPr>
                <w:rFonts w:ascii="Aptos" w:hAnsi="Aptos"/>
                <w:b w:val="0"/>
                <w:color w:val="27343D"/>
                <w:sz w:val="17"/>
              </w:rPr>
              <w:t>Important candidate models did not fail; CV ranking is stable; no model is selected based on test performance.</w:t>
            </w:r>
          </w:p>
        </w:tc>
      </w:tr>
      <w:tr w14:paraId="4D3A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B"/>
            <w:tcMar>
              <w:top w:w="100" w:type="dxa"/>
              <w:left w:w="100" w:type="dxa"/>
              <w:bottom w:w="100" w:type="dxa"/>
              <w:right w:w="100" w:type="dxa"/>
            </w:tcMar>
            <w:vAlign w:val="center"/>
          </w:tcPr>
          <w:p w14:paraId="45C31852">
            <w:pPr>
              <w:spacing w:after="0" w:line="240" w:lineRule="auto"/>
            </w:pPr>
            <w:r>
              <w:rPr>
                <w:rFonts w:ascii="Aptos" w:hAnsi="Aptos"/>
                <w:b/>
                <w:color w:val="27343D"/>
                <w:sz w:val="17"/>
              </w:rPr>
              <w:t>EVALUATE</w:t>
            </w:r>
          </w:p>
        </w:tc>
        <w:tc>
          <w:tcPr>
            <w:tcW w:w="8424" w:type="dxa"/>
            <w:shd w:val="clear" w:color="auto" w:fill="F8FAFB"/>
            <w:tcMar>
              <w:top w:w="100" w:type="dxa"/>
              <w:left w:w="100" w:type="dxa"/>
              <w:bottom w:w="100" w:type="dxa"/>
              <w:right w:w="100" w:type="dxa"/>
            </w:tcMar>
            <w:vAlign w:val="center"/>
          </w:tcPr>
          <w:p w14:paraId="3690338B">
            <w:pPr>
              <w:spacing w:after="0" w:line="240" w:lineRule="auto"/>
            </w:pPr>
            <w:r>
              <w:t>Holdout macro-F1/balanced accuracy are acceptable; confusion matrix is understood; HIGH/MEDIUM/LOW holdout accuracy is monotonic; class_reliability_oof.csv has adequate support for important classes.</w:t>
            </w:r>
          </w:p>
        </w:tc>
      </w:tr>
      <w:tr w14:paraId="52AC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100" w:type="dxa"/>
              <w:left w:w="100" w:type="dxa"/>
              <w:bottom w:w="100" w:type="dxa"/>
              <w:right w:w="100" w:type="dxa"/>
            </w:tcMar>
            <w:vAlign w:val="center"/>
          </w:tcPr>
          <w:p w14:paraId="632FE5F2">
            <w:pPr>
              <w:spacing w:after="0" w:line="240" w:lineRule="auto"/>
            </w:pPr>
            <w:r>
              <w:rPr>
                <w:rFonts w:ascii="Aptos" w:hAnsi="Aptos"/>
                <w:b/>
                <w:color w:val="27343D"/>
                <w:sz w:val="17"/>
              </w:rPr>
              <w:t>PREDICT</w:t>
            </w:r>
          </w:p>
        </w:tc>
        <w:tc>
          <w:tcPr>
            <w:tcW w:w="8424" w:type="dxa"/>
            <w:tcMar>
              <w:top w:w="100" w:type="dxa"/>
              <w:left w:w="100" w:type="dxa"/>
              <w:bottom w:w="100" w:type="dxa"/>
              <w:right w:w="100" w:type="dxa"/>
            </w:tcMar>
            <w:vAlign w:val="center"/>
          </w:tcPr>
          <w:p w14:paraId="3B1B18DD">
            <w:pPr>
              <w:spacing w:after="0" w:line="240" w:lineRule="auto"/>
            </w:pPr>
            <w:r>
              <w:rPr>
                <w:rFonts w:ascii="Aptos" w:hAnsi="Aptos"/>
                <w:b w:val="0"/>
                <w:color w:val="27343D"/>
                <w:sz w:val="17"/>
              </w:rPr>
              <w:t>Unknown rows were filled as expected; review count is acceptable; confidence/review fields are present; map/distribution shows no obvious spatial anomaly.</w:t>
            </w:r>
          </w:p>
        </w:tc>
      </w:tr>
    </w:tbl>
    <w:p w14:paraId="29E186D1">
      <w:pPr>
        <w:spacing w:after="0"/>
      </w:pPr>
    </w:p>
    <w:p w14:paraId="2C1A0202">
      <w:pPr>
        <w:pStyle w:val="3"/>
        <w:keepNext/>
      </w:pPr>
      <w:r>
        <w:t>15.3 Rerun guidance</w:t>
      </w:r>
    </w:p>
    <w:p w14:paraId="1CC797DA">
      <w:pPr>
        <w:pStyle w:val="23"/>
        <w:spacing w:after="60"/>
      </w:pPr>
      <w:r>
        <w:rPr>
          <w:rFonts w:ascii="Aptos" w:hAnsi="Aptos"/>
        </w:rPr>
        <w:t>Changing raw input cleaning, feature columns, label definitions, split settings or CV folds should normally trigger a new CHECK/PREPARE/TRAIN chain.</w:t>
      </w:r>
    </w:p>
    <w:p w14:paraId="736E87F2">
      <w:pPr>
        <w:pStyle w:val="23"/>
        <w:spacing w:after="60"/>
      </w:pPr>
      <w:r>
        <w:rPr>
          <w:rFonts w:ascii="Aptos" w:hAnsi="Aptos"/>
        </w:rPr>
        <w:t>Adding a new model family can use the incremental-training path while reusing valid existing artifacts.</w:t>
      </w:r>
    </w:p>
    <w:p w14:paraId="62848F37">
      <w:pPr>
        <w:pStyle w:val="23"/>
        <w:spacing w:after="60"/>
      </w:pPr>
      <w:r>
        <w:t>Changing model-selection logic, top_voting_models, class multipliers, rank-confidence thresholds or class-reliability thresholds requires a new EVALUATE at minimum; if selected members or OOF predictions change, rerun TRAIN OOF generation as well.</w:t>
      </w:r>
    </w:p>
    <w:p w14:paraId="542480B1">
      <w:pPr>
        <w:pStyle w:val="23"/>
        <w:spacing w:after="60"/>
      </w:pPr>
      <w:r>
        <w:t>Do not manually copy an old class-reliability contract to a different ensemble, class definition, label mapping or training population. OOF precision is specific to the frozen prediction strategy and training data.</w:t>
      </w:r>
    </w:p>
    <w:p w14:paraId="53D93336">
      <w:pPr>
        <w:pStyle w:val="2"/>
        <w:keepNext/>
      </w:pPr>
      <w:r>
        <w:t>16. Troubleshooting and quality red flags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3097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84" w:type="dxa"/>
            <w:shd w:val="clear" w:color="auto" w:fill="17324D"/>
            <w:tcMar>
              <w:top w:w="100" w:type="dxa"/>
              <w:left w:w="100" w:type="dxa"/>
              <w:bottom w:w="100" w:type="dxa"/>
              <w:right w:w="100" w:type="dxa"/>
            </w:tcMar>
            <w:vAlign w:val="center"/>
          </w:tcPr>
          <w:p w14:paraId="5D4FD9A5">
            <w:pPr>
              <w:spacing w:after="0" w:line="240" w:lineRule="auto"/>
              <w:jc w:val="center"/>
            </w:pPr>
            <w:r>
              <w:rPr>
                <w:rFonts w:ascii="Aptos" w:hAnsi="Aptos"/>
                <w:b/>
                <w:color w:val="FFFFFF"/>
                <w:sz w:val="16"/>
              </w:rPr>
              <w:t>Symptom</w:t>
            </w:r>
          </w:p>
        </w:tc>
        <w:tc>
          <w:tcPr>
            <w:tcW w:w="6840" w:type="dxa"/>
            <w:shd w:val="clear" w:color="auto" w:fill="17324D"/>
            <w:tcMar>
              <w:top w:w="100" w:type="dxa"/>
              <w:left w:w="100" w:type="dxa"/>
              <w:bottom w:w="100" w:type="dxa"/>
              <w:right w:w="100" w:type="dxa"/>
            </w:tcMar>
            <w:vAlign w:val="center"/>
          </w:tcPr>
          <w:p w14:paraId="0F528DE4">
            <w:pPr>
              <w:spacing w:after="0" w:line="240" w:lineRule="auto"/>
              <w:jc w:val="center"/>
            </w:pPr>
            <w:r>
              <w:rPr>
                <w:rFonts w:ascii="Aptos" w:hAnsi="Aptos"/>
                <w:b/>
                <w:color w:val="FFFFFF"/>
                <w:sz w:val="16"/>
              </w:rPr>
              <w:t>Likely meaning / action</w:t>
            </w:r>
          </w:p>
        </w:tc>
      </w:tr>
      <w:tr w14:paraId="3FD44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6441BA3F">
            <w:pPr>
              <w:spacing w:after="0" w:line="240" w:lineRule="auto"/>
            </w:pPr>
            <w:r>
              <w:rPr>
                <w:rFonts w:ascii="Aptos" w:hAnsi="Aptos"/>
                <w:b/>
                <w:color w:val="27343D"/>
                <w:sz w:val="16"/>
              </w:rPr>
              <w:t>Duplicate ID error</w:t>
            </w:r>
          </w:p>
        </w:tc>
        <w:tc>
          <w:tcPr>
            <w:tcW w:w="6840" w:type="dxa"/>
            <w:tcMar>
              <w:top w:w="100" w:type="dxa"/>
              <w:left w:w="100" w:type="dxa"/>
              <w:bottom w:w="100" w:type="dxa"/>
              <w:right w:w="100" w:type="dxa"/>
            </w:tcMar>
            <w:vAlign w:val="center"/>
          </w:tcPr>
          <w:p w14:paraId="04193FA9">
            <w:pPr>
              <w:spacing w:after="0" w:line="240" w:lineRule="auto"/>
            </w:pPr>
            <w:r>
              <w:rPr>
                <w:rFonts w:ascii="Aptos" w:hAnsi="Aptos"/>
                <w:b w:val="0"/>
                <w:color w:val="27343D"/>
                <w:sz w:val="16"/>
              </w:rPr>
              <w:t>Input is not one row per entity. Fix upstream aggregation or deliberately change the modeling grain.</w:t>
            </w:r>
          </w:p>
        </w:tc>
      </w:tr>
      <w:tr w14:paraId="6414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4B8AED3E">
            <w:pPr>
              <w:spacing w:after="0" w:line="240" w:lineRule="auto"/>
            </w:pPr>
            <w:r>
              <w:rPr>
                <w:rFonts w:ascii="Aptos" w:hAnsi="Aptos"/>
                <w:b/>
                <w:color w:val="27343D"/>
                <w:sz w:val="16"/>
              </w:rPr>
              <w:t>A class has fewer rows than cv_folds</w:t>
            </w:r>
          </w:p>
        </w:tc>
        <w:tc>
          <w:tcPr>
            <w:tcW w:w="6840" w:type="dxa"/>
            <w:shd w:val="clear" w:color="auto" w:fill="F8FAFB"/>
            <w:tcMar>
              <w:top w:w="100" w:type="dxa"/>
              <w:left w:w="100" w:type="dxa"/>
              <w:bottom w:w="100" w:type="dxa"/>
              <w:right w:w="100" w:type="dxa"/>
            </w:tcMar>
            <w:vAlign w:val="center"/>
          </w:tcPr>
          <w:p w14:paraId="79ACB079">
            <w:pPr>
              <w:spacing w:after="0" w:line="240" w:lineRule="auto"/>
            </w:pPr>
            <w:r>
              <w:rPr>
                <w:rFonts w:ascii="Aptos" w:hAnsi="Aptos"/>
                <w:b w:val="0"/>
                <w:color w:val="27343D"/>
                <w:sz w:val="16"/>
              </w:rPr>
              <w:t>CV cannot represent the class reliably. Add data, merge unsupported classes, or reduce folds with caution.</w:t>
            </w:r>
          </w:p>
        </w:tc>
      </w:tr>
      <w:tr w14:paraId="27E9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0AD27C44">
            <w:pPr>
              <w:spacing w:after="0" w:line="240" w:lineRule="auto"/>
            </w:pPr>
            <w:r>
              <w:rPr>
                <w:rFonts w:ascii="Aptos" w:hAnsi="Aptos"/>
                <w:b/>
                <w:color w:val="27343D"/>
                <w:sz w:val="16"/>
              </w:rPr>
              <w:t>Spatial split cannot keep a class in training</w:t>
            </w:r>
          </w:p>
        </w:tc>
        <w:tc>
          <w:tcPr>
            <w:tcW w:w="6840" w:type="dxa"/>
            <w:tcMar>
              <w:top w:w="100" w:type="dxa"/>
              <w:left w:w="100" w:type="dxa"/>
              <w:bottom w:w="100" w:type="dxa"/>
              <w:right w:w="100" w:type="dxa"/>
            </w:tcMar>
            <w:vAlign w:val="center"/>
          </w:tcPr>
          <w:p w14:paraId="383BBFB9">
            <w:pPr>
              <w:spacing w:after="0" w:line="240" w:lineRule="auto"/>
            </w:pPr>
            <w:r>
              <w:rPr>
                <w:rFonts w:ascii="Aptos" w:hAnsi="Aptos"/>
                <w:b w:val="0"/>
                <w:color w:val="27343D"/>
                <w:sz w:val="16"/>
              </w:rPr>
              <w:t>The class is too geographically concentrated for the chosen grid/test design.</w:t>
            </w:r>
          </w:p>
        </w:tc>
      </w:tr>
      <w:tr w14:paraId="14F7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09843BD4">
            <w:pPr>
              <w:spacing w:after="0" w:line="240" w:lineRule="auto"/>
            </w:pPr>
            <w:r>
              <w:rPr>
                <w:rFonts w:ascii="Aptos" w:hAnsi="Aptos"/>
                <w:b/>
                <w:color w:val="27343D"/>
                <w:sz w:val="16"/>
              </w:rPr>
              <w:t>Large train score, much lower test score</w:t>
            </w:r>
          </w:p>
        </w:tc>
        <w:tc>
          <w:tcPr>
            <w:tcW w:w="6840" w:type="dxa"/>
            <w:shd w:val="clear" w:color="auto" w:fill="F8FAFB"/>
            <w:tcMar>
              <w:top w:w="100" w:type="dxa"/>
              <w:left w:w="100" w:type="dxa"/>
              <w:bottom w:w="100" w:type="dxa"/>
              <w:right w:w="100" w:type="dxa"/>
            </w:tcMar>
            <w:vAlign w:val="center"/>
          </w:tcPr>
          <w:p w14:paraId="0974022A">
            <w:pPr>
              <w:spacing w:after="0" w:line="240" w:lineRule="auto"/>
            </w:pPr>
            <w:r>
              <w:rPr>
                <w:rFonts w:ascii="Aptos" w:hAnsi="Aptos"/>
                <w:b w:val="0"/>
                <w:color w:val="27343D"/>
                <w:sz w:val="16"/>
              </w:rPr>
              <w:t>Possible overfitting, spatial leakage, domain shift or inadequate regularization.</w:t>
            </w:r>
          </w:p>
        </w:tc>
      </w:tr>
      <w:tr w14:paraId="6E023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757EEA6A">
            <w:pPr>
              <w:spacing w:after="0" w:line="240" w:lineRule="auto"/>
            </w:pPr>
            <w:r>
              <w:rPr>
                <w:rFonts w:ascii="Aptos" w:hAnsi="Aptos"/>
                <w:b/>
                <w:color w:val="27343D"/>
                <w:sz w:val="16"/>
              </w:rPr>
              <w:t>CV score standard deviation is high</w:t>
            </w:r>
          </w:p>
        </w:tc>
        <w:tc>
          <w:tcPr>
            <w:tcW w:w="6840" w:type="dxa"/>
            <w:tcMar>
              <w:top w:w="100" w:type="dxa"/>
              <w:left w:w="100" w:type="dxa"/>
              <w:bottom w:w="100" w:type="dxa"/>
              <w:right w:w="100" w:type="dxa"/>
            </w:tcMar>
            <w:vAlign w:val="center"/>
          </w:tcPr>
          <w:p w14:paraId="6BFF0226">
            <w:pPr>
              <w:spacing w:after="0" w:line="240" w:lineRule="auto"/>
            </w:pPr>
            <w:r>
              <w:rPr>
                <w:rFonts w:ascii="Aptos" w:hAnsi="Aptos"/>
                <w:b w:val="0"/>
                <w:color w:val="27343D"/>
                <w:sz w:val="16"/>
              </w:rPr>
              <w:t>Model performance is unstable across folds; inspect geography/class composition and prefer stable alternatives.</w:t>
            </w:r>
          </w:p>
        </w:tc>
      </w:tr>
      <w:tr w14:paraId="79A5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62B2E9B5">
            <w:pPr>
              <w:spacing w:after="0" w:line="240" w:lineRule="auto"/>
            </w:pPr>
            <w:r>
              <w:rPr>
                <w:rFonts w:ascii="Aptos" w:hAnsi="Aptos"/>
                <w:b/>
                <w:color w:val="27343D"/>
                <w:sz w:val="16"/>
              </w:rPr>
              <w:t>Many failed models</w:t>
            </w:r>
          </w:p>
        </w:tc>
        <w:tc>
          <w:tcPr>
            <w:tcW w:w="6840" w:type="dxa"/>
            <w:shd w:val="clear" w:color="auto" w:fill="F8FAFB"/>
            <w:tcMar>
              <w:top w:w="100" w:type="dxa"/>
              <w:left w:w="100" w:type="dxa"/>
              <w:bottom w:w="100" w:type="dxa"/>
              <w:right w:w="100" w:type="dxa"/>
            </w:tcMar>
            <w:vAlign w:val="center"/>
          </w:tcPr>
          <w:p w14:paraId="46D4898A">
            <w:pPr>
              <w:spacing w:after="0" w:line="240" w:lineRule="auto"/>
            </w:pPr>
            <w:r>
              <w:rPr>
                <w:rFonts w:ascii="Aptos" w:hAnsi="Aptos"/>
                <w:b w:val="0"/>
                <w:color w:val="27343D"/>
                <w:sz w:val="16"/>
              </w:rPr>
              <w:t>Check optional libraries, memory, invalid hyperparameter combinations, feature types, and training_failed_models.csv.</w:t>
            </w:r>
          </w:p>
        </w:tc>
      </w:tr>
      <w:tr w14:paraId="06F0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3B0C5439">
            <w:pPr>
              <w:spacing w:after="0" w:line="240" w:lineRule="auto"/>
            </w:pPr>
            <w:r>
              <w:rPr>
                <w:rFonts w:ascii="Aptos" w:hAnsi="Aptos"/>
                <w:b/>
                <w:color w:val="27343D"/>
                <w:sz w:val="16"/>
              </w:rPr>
              <w:t>HIGH/MEDIUM/LOW accuracy is not monotonic on holdout</w:t>
            </w:r>
          </w:p>
        </w:tc>
        <w:tc>
          <w:tcPr>
            <w:tcW w:w="6840" w:type="dxa"/>
            <w:tcMar>
              <w:top w:w="100" w:type="dxa"/>
              <w:left w:w="100" w:type="dxa"/>
              <w:bottom w:w="100" w:type="dxa"/>
              <w:right w:w="100" w:type="dxa"/>
            </w:tcMar>
            <w:vAlign w:val="center"/>
          </w:tcPr>
          <w:p w14:paraId="379A9B4B">
            <w:pPr>
              <w:spacing w:after="0" w:line="240" w:lineRule="auto"/>
            </w:pPr>
            <w:r>
              <w:t>The simplified confidence rule is not separating reliability well enough; inspect rank thresholds, per-class OOF precision/support, and the confusion matrix.</w:t>
            </w:r>
          </w:p>
        </w:tc>
      </w:tr>
      <w:tr w14:paraId="4F93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098D0AA0">
            <w:pPr>
              <w:spacing w:after="0" w:line="240" w:lineRule="auto"/>
            </w:pPr>
            <w:r>
              <w:rPr>
                <w:rFonts w:ascii="Aptos" w:hAnsi="Aptos"/>
                <w:b/>
                <w:color w:val="27343D"/>
                <w:sz w:val="16"/>
              </w:rPr>
              <w:t>Many confidence rows invalid</w:t>
            </w:r>
          </w:p>
        </w:tc>
        <w:tc>
          <w:tcPr>
            <w:tcW w:w="6840" w:type="dxa"/>
            <w:shd w:val="clear" w:color="auto" w:fill="F8FAFB"/>
            <w:tcMar>
              <w:top w:w="100" w:type="dxa"/>
              <w:left w:w="100" w:type="dxa"/>
              <w:bottom w:w="100" w:type="dxa"/>
              <w:right w:w="100" w:type="dxa"/>
            </w:tcMar>
            <w:vAlign w:val="center"/>
          </w:tcPr>
          <w:p w14:paraId="1E52E8E6">
            <w:pPr>
              <w:spacing w:after="0" w:line="240" w:lineRule="auto"/>
            </w:pPr>
            <w:r>
              <w:t>Ensemble may be too small or important predicted classes may have insufficient OOF support. Also inspect Borda ties and soft-vote/Borda disagreement.</w:t>
            </w:r>
          </w:p>
        </w:tc>
      </w:tr>
      <w:tr w14:paraId="3DFD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tcMar>
              <w:top w:w="100" w:type="dxa"/>
              <w:left w:w="100" w:type="dxa"/>
              <w:bottom w:w="100" w:type="dxa"/>
              <w:right w:w="100" w:type="dxa"/>
            </w:tcMar>
            <w:vAlign w:val="center"/>
          </w:tcPr>
          <w:p w14:paraId="53F5010D">
            <w:pPr>
              <w:spacing w:after="0" w:line="240" w:lineRule="auto"/>
            </w:pPr>
            <w:r>
              <w:rPr>
                <w:rFonts w:ascii="Aptos" w:hAnsi="Aptos"/>
                <w:b/>
                <w:color w:val="27343D"/>
                <w:sz w:val="16"/>
              </w:rPr>
              <w:t>A class is often wrong even at strong agreement</w:t>
            </w:r>
          </w:p>
        </w:tc>
        <w:tc>
          <w:tcPr>
            <w:tcW w:w="6840" w:type="dxa"/>
            <w:tcMar>
              <w:top w:w="100" w:type="dxa"/>
              <w:left w:w="100" w:type="dxa"/>
              <w:bottom w:w="100" w:type="dxa"/>
              <w:right w:w="100" w:type="dxa"/>
            </w:tcMar>
            <w:vAlign w:val="center"/>
          </w:tcPr>
          <w:p w14:paraId="7057FAB4">
            <w:pPr>
              <w:spacing w:after="0" w:line="240" w:lineRule="auto"/>
            </w:pPr>
            <w:r>
              <w:t>Systematic model bias/class confusion. The class-reliability guard should cap confidence, but the underlying model problem still requires better features, labels, balancing or class definitions.</w:t>
            </w:r>
          </w:p>
        </w:tc>
      </w:tr>
      <w:tr w14:paraId="04E77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4" w:type="dxa"/>
            <w:shd w:val="clear" w:color="auto" w:fill="F8FAFB"/>
            <w:tcMar>
              <w:top w:w="100" w:type="dxa"/>
              <w:left w:w="100" w:type="dxa"/>
              <w:bottom w:w="100" w:type="dxa"/>
              <w:right w:w="100" w:type="dxa"/>
            </w:tcMar>
            <w:vAlign w:val="center"/>
          </w:tcPr>
          <w:p w14:paraId="78C8AD47">
            <w:pPr>
              <w:spacing w:after="0" w:line="240" w:lineRule="auto"/>
            </w:pPr>
            <w:r>
              <w:rPr>
                <w:rFonts w:ascii="Aptos" w:hAnsi="Aptos"/>
                <w:b/>
                <w:color w:val="27343D"/>
                <w:sz w:val="16"/>
              </w:rPr>
              <w:t>prediction_max_probability is high but confidence LOW</w:t>
            </w:r>
          </w:p>
        </w:tc>
        <w:tc>
          <w:tcPr>
            <w:tcW w:w="6840" w:type="dxa"/>
            <w:shd w:val="clear" w:color="auto" w:fill="F8FAFB"/>
            <w:tcMar>
              <w:top w:w="100" w:type="dxa"/>
              <w:left w:w="100" w:type="dxa"/>
              <w:bottom w:w="100" w:type="dxa"/>
              <w:right w:w="100" w:type="dxa"/>
            </w:tcMar>
            <w:vAlign w:val="center"/>
          </w:tcPr>
          <w:p w14:paraId="3740EC0D">
            <w:pPr>
              <w:spacing w:after="0" w:line="240" w:lineRule="auto"/>
            </w:pPr>
            <w:r>
              <w:t>Possible overconfident probabilities, weak rank support, or low historical OOF precision for the predicted class. LOW is intentional.</w:t>
            </w:r>
          </w:p>
        </w:tc>
      </w:tr>
    </w:tbl>
    <w:p w14:paraId="71CCAEC2">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7E624D79">
        <w:tblPrEx>
          <w:tblCellMar>
            <w:top w:w="0" w:type="dxa"/>
            <w:left w:w="108" w:type="dxa"/>
            <w:bottom w:w="0" w:type="dxa"/>
            <w:right w:w="108" w:type="dxa"/>
          </w:tblCellMar>
        </w:tblPrEx>
        <w:trPr>
          <w:jc w:val="center"/>
        </w:trPr>
        <w:tc>
          <w:tcPr>
            <w:tcW w:w="10080" w:type="dxa"/>
            <w:shd w:val="clear" w:color="auto" w:fill="FFF3F3"/>
            <w:tcMar>
              <w:top w:w="130" w:type="dxa"/>
              <w:left w:w="160" w:type="dxa"/>
              <w:bottom w:w="130" w:type="dxa"/>
              <w:right w:w="160" w:type="dxa"/>
            </w:tcMar>
          </w:tcPr>
          <w:p w14:paraId="3072B699">
            <w:r>
              <w:t>Do not “fix” confidence by only lowering thresholds  If a class remains inaccurate when models agree, the issue is class discrimination, not parcel rank strictness. Check class_reliability_oof.csv and holdout per-class results before adjusting rank thresholds.</w:t>
            </w:r>
          </w:p>
        </w:tc>
      </w:tr>
    </w:tbl>
    <w:p w14:paraId="443D37BA">
      <w:pPr>
        <w:spacing w:after="0"/>
      </w:pPr>
    </w:p>
    <w:p w14:paraId="471A176C">
      <w:pPr>
        <w:pStyle w:val="2"/>
        <w:keepNext/>
      </w:pPr>
      <w:r>
        <w:t>17.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E23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7324D"/>
            <w:tcMar>
              <w:top w:w="100" w:type="dxa"/>
              <w:left w:w="100" w:type="dxa"/>
              <w:bottom w:w="100" w:type="dxa"/>
              <w:right w:w="100" w:type="dxa"/>
            </w:tcMar>
            <w:vAlign w:val="center"/>
          </w:tcPr>
          <w:p w14:paraId="0A58CB4B">
            <w:pPr>
              <w:spacing w:after="0" w:line="240" w:lineRule="auto"/>
              <w:jc w:val="center"/>
            </w:pPr>
            <w:r>
              <w:rPr>
                <w:rFonts w:ascii="Aptos" w:hAnsi="Aptos"/>
                <w:b/>
                <w:color w:val="FFFFFF"/>
                <w:sz w:val="16"/>
              </w:rPr>
              <w:t>Term</w:t>
            </w:r>
          </w:p>
        </w:tc>
        <w:tc>
          <w:tcPr>
            <w:tcW w:w="7200" w:type="dxa"/>
            <w:shd w:val="clear" w:color="auto" w:fill="17324D"/>
            <w:tcMar>
              <w:top w:w="100" w:type="dxa"/>
              <w:left w:w="100" w:type="dxa"/>
              <w:bottom w:w="100" w:type="dxa"/>
              <w:right w:w="100" w:type="dxa"/>
            </w:tcMar>
            <w:vAlign w:val="center"/>
          </w:tcPr>
          <w:p w14:paraId="6CAEE15B">
            <w:pPr>
              <w:spacing w:after="0" w:line="240" w:lineRule="auto"/>
              <w:jc w:val="center"/>
            </w:pPr>
            <w:r>
              <w:rPr>
                <w:rFonts w:ascii="Aptos" w:hAnsi="Aptos"/>
                <w:b/>
                <w:color w:val="FFFFFF"/>
                <w:sz w:val="16"/>
              </w:rPr>
              <w:t>Meaning in this pipeline</w:t>
            </w:r>
          </w:p>
        </w:tc>
      </w:tr>
      <w:tr w14:paraId="2036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6AB0E37C">
            <w:pPr>
              <w:spacing w:after="0" w:line="240" w:lineRule="auto"/>
            </w:pPr>
            <w:r>
              <w:rPr>
                <w:rFonts w:ascii="Aptos" w:hAnsi="Aptos"/>
                <w:b/>
                <w:color w:val="27343D"/>
                <w:sz w:val="16"/>
              </w:rPr>
              <w:t>Class / target</w:t>
            </w:r>
          </w:p>
        </w:tc>
        <w:tc>
          <w:tcPr>
            <w:tcW w:w="7200" w:type="dxa"/>
            <w:tcMar>
              <w:top w:w="100" w:type="dxa"/>
              <w:left w:w="100" w:type="dxa"/>
              <w:bottom w:w="100" w:type="dxa"/>
              <w:right w:w="100" w:type="dxa"/>
            </w:tcMar>
            <w:vAlign w:val="center"/>
          </w:tcPr>
          <w:p w14:paraId="321FC12A">
            <w:pPr>
              <w:spacing w:after="0" w:line="240" w:lineRule="auto"/>
            </w:pPr>
            <w:r>
              <w:rPr>
                <w:rFonts w:ascii="Aptos" w:hAnsi="Aptos"/>
                <w:b w:val="0"/>
                <w:color w:val="27343D"/>
                <w:sz w:val="16"/>
              </w:rPr>
              <w:t>The category being predicted, e.g. crop code.</w:t>
            </w:r>
          </w:p>
        </w:tc>
      </w:tr>
      <w:tr w14:paraId="4983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0C00D65C">
            <w:pPr>
              <w:spacing w:after="0" w:line="240" w:lineRule="auto"/>
            </w:pPr>
            <w:r>
              <w:rPr>
                <w:rFonts w:ascii="Aptos" w:hAnsi="Aptos"/>
                <w:b/>
                <w:color w:val="27343D"/>
                <w:sz w:val="16"/>
              </w:rPr>
              <w:t>Feature</w:t>
            </w:r>
          </w:p>
        </w:tc>
        <w:tc>
          <w:tcPr>
            <w:tcW w:w="7200" w:type="dxa"/>
            <w:shd w:val="clear" w:color="auto" w:fill="F8FAFB"/>
            <w:tcMar>
              <w:top w:w="100" w:type="dxa"/>
              <w:left w:w="100" w:type="dxa"/>
              <w:bottom w:w="100" w:type="dxa"/>
              <w:right w:w="100" w:type="dxa"/>
            </w:tcMar>
            <w:vAlign w:val="center"/>
          </w:tcPr>
          <w:p w14:paraId="7A491AF8">
            <w:pPr>
              <w:spacing w:after="0" w:line="240" w:lineRule="auto"/>
            </w:pPr>
            <w:r>
              <w:rPr>
                <w:rFonts w:ascii="Aptos" w:hAnsi="Aptos"/>
                <w:b w:val="0"/>
                <w:color w:val="27343D"/>
                <w:sz w:val="16"/>
              </w:rPr>
              <w:t>Input measurement used by a model.</w:t>
            </w:r>
          </w:p>
        </w:tc>
      </w:tr>
      <w:tr w14:paraId="472C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452D219B">
            <w:pPr>
              <w:spacing w:after="0" w:line="240" w:lineRule="auto"/>
            </w:pPr>
            <w:r>
              <w:rPr>
                <w:rFonts w:ascii="Aptos" w:hAnsi="Aptos"/>
                <w:b/>
                <w:color w:val="27343D"/>
                <w:sz w:val="16"/>
              </w:rPr>
              <w:t>Labeled row</w:t>
            </w:r>
          </w:p>
        </w:tc>
        <w:tc>
          <w:tcPr>
            <w:tcW w:w="7200" w:type="dxa"/>
            <w:tcMar>
              <w:top w:w="100" w:type="dxa"/>
              <w:left w:w="100" w:type="dxa"/>
              <w:bottom w:w="100" w:type="dxa"/>
              <w:right w:w="100" w:type="dxa"/>
            </w:tcMar>
            <w:vAlign w:val="center"/>
          </w:tcPr>
          <w:p w14:paraId="0CA8F431">
            <w:pPr>
              <w:spacing w:after="0" w:line="240" w:lineRule="auto"/>
            </w:pPr>
            <w:r>
              <w:rPr>
                <w:rFonts w:ascii="Aptos" w:hAnsi="Aptos"/>
                <w:b w:val="0"/>
                <w:color w:val="27343D"/>
                <w:sz w:val="16"/>
              </w:rPr>
              <w:t>Parcel whose true class is known.</w:t>
            </w:r>
          </w:p>
        </w:tc>
      </w:tr>
      <w:tr w14:paraId="66F8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391F4864">
            <w:pPr>
              <w:spacing w:after="0" w:line="240" w:lineRule="auto"/>
            </w:pPr>
            <w:r>
              <w:rPr>
                <w:rFonts w:ascii="Aptos" w:hAnsi="Aptos"/>
                <w:b/>
                <w:color w:val="27343D"/>
                <w:sz w:val="16"/>
              </w:rPr>
              <w:t>Unknown row</w:t>
            </w:r>
          </w:p>
        </w:tc>
        <w:tc>
          <w:tcPr>
            <w:tcW w:w="7200" w:type="dxa"/>
            <w:shd w:val="clear" w:color="auto" w:fill="F8FAFB"/>
            <w:tcMar>
              <w:top w:w="100" w:type="dxa"/>
              <w:left w:w="100" w:type="dxa"/>
              <w:bottom w:w="100" w:type="dxa"/>
              <w:right w:w="100" w:type="dxa"/>
            </w:tcMar>
            <w:vAlign w:val="center"/>
          </w:tcPr>
          <w:p w14:paraId="79C2E960">
            <w:pPr>
              <w:spacing w:after="0" w:line="240" w:lineRule="auto"/>
            </w:pPr>
            <w:r>
              <w:rPr>
                <w:rFonts w:ascii="Aptos" w:hAnsi="Aptos"/>
                <w:b w:val="0"/>
                <w:color w:val="27343D"/>
                <w:sz w:val="16"/>
              </w:rPr>
              <w:t>Parcel whose target is null and must be filled in Step 5.</w:t>
            </w:r>
          </w:p>
        </w:tc>
      </w:tr>
      <w:tr w14:paraId="09DF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01F01614">
            <w:pPr>
              <w:spacing w:after="0" w:line="240" w:lineRule="auto"/>
            </w:pPr>
            <w:r>
              <w:rPr>
                <w:rFonts w:ascii="Aptos" w:hAnsi="Aptos"/>
                <w:b/>
                <w:color w:val="27343D"/>
                <w:sz w:val="16"/>
              </w:rPr>
              <w:t>Train set</w:t>
            </w:r>
          </w:p>
        </w:tc>
        <w:tc>
          <w:tcPr>
            <w:tcW w:w="7200" w:type="dxa"/>
            <w:tcMar>
              <w:top w:w="100" w:type="dxa"/>
              <w:left w:w="100" w:type="dxa"/>
              <w:bottom w:w="100" w:type="dxa"/>
              <w:right w:w="100" w:type="dxa"/>
            </w:tcMar>
            <w:vAlign w:val="center"/>
          </w:tcPr>
          <w:p w14:paraId="2C1A71D5">
            <w:pPr>
              <w:spacing w:after="0" w:line="240" w:lineRule="auto"/>
            </w:pPr>
            <w:r>
              <w:rPr>
                <w:rFonts w:ascii="Aptos" w:hAnsi="Aptos"/>
                <w:b w:val="0"/>
                <w:color w:val="27343D"/>
                <w:sz w:val="16"/>
              </w:rPr>
              <w:t>Data used for fitting, CV and OOF.</w:t>
            </w:r>
          </w:p>
        </w:tc>
      </w:tr>
      <w:tr w14:paraId="5A3A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4BFFD026">
            <w:pPr>
              <w:spacing w:after="0" w:line="240" w:lineRule="auto"/>
            </w:pPr>
            <w:r>
              <w:rPr>
                <w:rFonts w:ascii="Aptos" w:hAnsi="Aptos"/>
                <w:b/>
                <w:color w:val="27343D"/>
                <w:sz w:val="16"/>
              </w:rPr>
              <w:t>Holdout test</w:t>
            </w:r>
          </w:p>
        </w:tc>
        <w:tc>
          <w:tcPr>
            <w:tcW w:w="7200" w:type="dxa"/>
            <w:shd w:val="clear" w:color="auto" w:fill="F8FAFB"/>
            <w:tcMar>
              <w:top w:w="100" w:type="dxa"/>
              <w:left w:w="100" w:type="dxa"/>
              <w:bottom w:w="100" w:type="dxa"/>
              <w:right w:w="100" w:type="dxa"/>
            </w:tcMar>
            <w:vAlign w:val="center"/>
          </w:tcPr>
          <w:p w14:paraId="212D2BD9">
            <w:pPr>
              <w:spacing w:after="0" w:line="240" w:lineRule="auto"/>
            </w:pPr>
            <w:r>
              <w:rPr>
                <w:rFonts w:ascii="Aptos" w:hAnsi="Aptos"/>
                <w:b w:val="0"/>
                <w:color w:val="27343D"/>
                <w:sz w:val="16"/>
              </w:rPr>
              <w:t>Data reserved for unbiased final verification.</w:t>
            </w:r>
          </w:p>
        </w:tc>
      </w:tr>
      <w:tr w14:paraId="0D33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6593F682">
            <w:pPr>
              <w:spacing w:after="0" w:line="240" w:lineRule="auto"/>
            </w:pPr>
            <w:r>
              <w:rPr>
                <w:rFonts w:ascii="Aptos" w:hAnsi="Aptos"/>
                <w:b/>
                <w:color w:val="27343D"/>
                <w:sz w:val="16"/>
              </w:rPr>
              <w:t>Cross-validation (CV)</w:t>
            </w:r>
          </w:p>
        </w:tc>
        <w:tc>
          <w:tcPr>
            <w:tcW w:w="7200" w:type="dxa"/>
            <w:tcMar>
              <w:top w:w="100" w:type="dxa"/>
              <w:left w:w="100" w:type="dxa"/>
              <w:bottom w:w="100" w:type="dxa"/>
              <w:right w:w="100" w:type="dxa"/>
            </w:tcMar>
            <w:vAlign w:val="center"/>
          </w:tcPr>
          <w:p w14:paraId="2A3FAE6B">
            <w:pPr>
              <w:spacing w:after="0" w:line="240" w:lineRule="auto"/>
            </w:pPr>
            <w:r>
              <w:rPr>
                <w:rFonts w:ascii="Aptos" w:hAnsi="Aptos"/>
                <w:b w:val="0"/>
                <w:color w:val="27343D"/>
                <w:sz w:val="16"/>
              </w:rPr>
              <w:t>Repeated training/validation splits inside the training data.</w:t>
            </w:r>
          </w:p>
        </w:tc>
      </w:tr>
      <w:tr w14:paraId="55AB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3EEC0F57">
            <w:pPr>
              <w:spacing w:after="0" w:line="240" w:lineRule="auto"/>
            </w:pPr>
            <w:r>
              <w:rPr>
                <w:rFonts w:ascii="Aptos" w:hAnsi="Aptos"/>
                <w:b/>
                <w:color w:val="27343D"/>
                <w:sz w:val="16"/>
              </w:rPr>
              <w:t>OOF prediction</w:t>
            </w:r>
          </w:p>
        </w:tc>
        <w:tc>
          <w:tcPr>
            <w:tcW w:w="7200" w:type="dxa"/>
            <w:shd w:val="clear" w:color="auto" w:fill="F8FAFB"/>
            <w:tcMar>
              <w:top w:w="100" w:type="dxa"/>
              <w:left w:w="100" w:type="dxa"/>
              <w:bottom w:w="100" w:type="dxa"/>
              <w:right w:w="100" w:type="dxa"/>
            </w:tcMar>
            <w:vAlign w:val="center"/>
          </w:tcPr>
          <w:p w14:paraId="2DD19C59">
            <w:pPr>
              <w:spacing w:after="0" w:line="240" w:lineRule="auto"/>
            </w:pPr>
            <w:r>
              <w:rPr>
                <w:rFonts w:ascii="Aptos" w:hAnsi="Aptos"/>
                <w:b w:val="0"/>
                <w:color w:val="27343D"/>
                <w:sz w:val="16"/>
              </w:rPr>
              <w:t>Prediction for a training row made by a model that did not train on that row.</w:t>
            </w:r>
          </w:p>
        </w:tc>
      </w:tr>
      <w:tr w14:paraId="2BFB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12921C3C">
            <w:pPr>
              <w:spacing w:after="0" w:line="240" w:lineRule="auto"/>
            </w:pPr>
            <w:r>
              <w:rPr>
                <w:rFonts w:ascii="Aptos" w:hAnsi="Aptos"/>
                <w:b/>
                <w:color w:val="27343D"/>
                <w:sz w:val="16"/>
              </w:rPr>
              <w:t>Hyperparameter</w:t>
            </w:r>
          </w:p>
        </w:tc>
        <w:tc>
          <w:tcPr>
            <w:tcW w:w="7200" w:type="dxa"/>
            <w:tcMar>
              <w:top w:w="100" w:type="dxa"/>
              <w:left w:w="100" w:type="dxa"/>
              <w:bottom w:w="100" w:type="dxa"/>
              <w:right w:w="100" w:type="dxa"/>
            </w:tcMar>
            <w:vAlign w:val="center"/>
          </w:tcPr>
          <w:p w14:paraId="5125256E">
            <w:pPr>
              <w:spacing w:after="0" w:line="240" w:lineRule="auto"/>
            </w:pPr>
            <w:r>
              <w:rPr>
                <w:rFonts w:ascii="Aptos" w:hAnsi="Aptos"/>
                <w:b w:val="0"/>
                <w:color w:val="27343D"/>
                <w:sz w:val="16"/>
              </w:rPr>
              <w:t>Model setting selected during search, e.g. tree depth or learning rate.</w:t>
            </w:r>
          </w:p>
        </w:tc>
      </w:tr>
      <w:tr w14:paraId="6E97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541B4777">
            <w:pPr>
              <w:spacing w:after="0" w:line="240" w:lineRule="auto"/>
            </w:pPr>
            <w:r>
              <w:rPr>
                <w:rFonts w:ascii="Aptos" w:hAnsi="Aptos"/>
                <w:b/>
                <w:color w:val="27343D"/>
                <w:sz w:val="16"/>
              </w:rPr>
              <w:t>Macro-F1</w:t>
            </w:r>
          </w:p>
        </w:tc>
        <w:tc>
          <w:tcPr>
            <w:tcW w:w="7200" w:type="dxa"/>
            <w:shd w:val="clear" w:color="auto" w:fill="F8FAFB"/>
            <w:tcMar>
              <w:top w:w="100" w:type="dxa"/>
              <w:left w:w="100" w:type="dxa"/>
              <w:bottom w:w="100" w:type="dxa"/>
              <w:right w:w="100" w:type="dxa"/>
            </w:tcMar>
            <w:vAlign w:val="center"/>
          </w:tcPr>
          <w:p w14:paraId="3CFE8803">
            <w:pPr>
              <w:spacing w:after="0" w:line="240" w:lineRule="auto"/>
            </w:pPr>
            <w:r>
              <w:rPr>
                <w:rFonts w:ascii="Aptos" w:hAnsi="Aptos"/>
                <w:b w:val="0"/>
                <w:color w:val="27343D"/>
                <w:sz w:val="16"/>
              </w:rPr>
              <w:t>Average F1 giving every class equal weight.</w:t>
            </w:r>
          </w:p>
        </w:tc>
      </w:tr>
      <w:tr w14:paraId="6800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06B7AB95">
            <w:pPr>
              <w:spacing w:after="0" w:line="240" w:lineRule="auto"/>
            </w:pPr>
            <w:r>
              <w:rPr>
                <w:rFonts w:ascii="Aptos" w:hAnsi="Aptos"/>
                <w:b/>
                <w:color w:val="27343D"/>
                <w:sz w:val="16"/>
              </w:rPr>
              <w:t>Soft voting</w:t>
            </w:r>
          </w:p>
        </w:tc>
        <w:tc>
          <w:tcPr>
            <w:tcW w:w="7200" w:type="dxa"/>
            <w:tcMar>
              <w:top w:w="100" w:type="dxa"/>
              <w:left w:w="100" w:type="dxa"/>
              <w:bottom w:w="100" w:type="dxa"/>
              <w:right w:w="100" w:type="dxa"/>
            </w:tcMar>
            <w:vAlign w:val="center"/>
          </w:tcPr>
          <w:p w14:paraId="779633C3">
            <w:pPr>
              <w:spacing w:after="0" w:line="240" w:lineRule="auto"/>
            </w:pPr>
            <w:r>
              <w:rPr>
                <w:rFonts w:ascii="Aptos" w:hAnsi="Aptos"/>
                <w:b w:val="0"/>
                <w:color w:val="27343D"/>
                <w:sz w:val="16"/>
              </w:rPr>
              <w:t>Average selected models’ aligned class probabilities.</w:t>
            </w:r>
          </w:p>
        </w:tc>
      </w:tr>
      <w:tr w14:paraId="4289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03C940BB">
            <w:pPr>
              <w:spacing w:after="0" w:line="240" w:lineRule="auto"/>
            </w:pPr>
            <w:r>
              <w:rPr>
                <w:rFonts w:ascii="Aptos" w:hAnsi="Aptos"/>
                <w:b/>
                <w:color w:val="27343D"/>
                <w:sz w:val="16"/>
              </w:rPr>
              <w:t>Borda rank score</w:t>
            </w:r>
          </w:p>
        </w:tc>
        <w:tc>
          <w:tcPr>
            <w:tcW w:w="7200" w:type="dxa"/>
            <w:shd w:val="clear" w:color="auto" w:fill="F8FAFB"/>
            <w:tcMar>
              <w:top w:w="100" w:type="dxa"/>
              <w:left w:w="100" w:type="dxa"/>
              <w:bottom w:w="100" w:type="dxa"/>
              <w:right w:w="100" w:type="dxa"/>
            </w:tcMar>
            <w:vAlign w:val="center"/>
          </w:tcPr>
          <w:p w14:paraId="388FB040">
            <w:pPr>
              <w:spacing w:after="0" w:line="240" w:lineRule="auto"/>
            </w:pPr>
            <w:r>
              <w:t>0–100 score derived from a model’s within-parcel class rank; rank 1 = 100 and the last rank = 0.</w:t>
            </w:r>
          </w:p>
        </w:tc>
      </w:tr>
      <w:tr w14:paraId="4EC2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66270597">
            <w:pPr>
              <w:spacing w:after="0" w:line="240" w:lineRule="auto"/>
            </w:pPr>
            <w:r>
              <w:rPr>
                <w:rFonts w:ascii="Aptos" w:hAnsi="Aptos"/>
                <w:b/>
                <w:color w:val="27343D"/>
                <w:sz w:val="16"/>
              </w:rPr>
              <w:t>Top-1 agreement</w:t>
            </w:r>
          </w:p>
        </w:tc>
        <w:tc>
          <w:tcPr>
            <w:tcW w:w="7200" w:type="dxa"/>
            <w:tcMar>
              <w:top w:w="100" w:type="dxa"/>
              <w:left w:w="100" w:type="dxa"/>
              <w:bottom w:w="100" w:type="dxa"/>
              <w:right w:w="100" w:type="dxa"/>
            </w:tcMar>
            <w:vAlign w:val="center"/>
          </w:tcPr>
          <w:p w14:paraId="3129882C">
            <w:pPr>
              <w:spacing w:after="0" w:line="240" w:lineRule="auto"/>
            </w:pPr>
            <w:r>
              <w:t>Fraction of selected models ranking the final class first. Retained as a diagnostic, but not a direct H/M/L threshold in the simplified method.</w:t>
            </w:r>
          </w:p>
        </w:tc>
      </w:tr>
      <w:tr w14:paraId="5914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202CE537">
            <w:pPr>
              <w:spacing w:after="0" w:line="240" w:lineRule="auto"/>
            </w:pPr>
            <w:r>
              <w:t>Class reliability</w:t>
            </w:r>
          </w:p>
        </w:tc>
        <w:tc>
          <w:tcPr>
            <w:tcW w:w="7200" w:type="dxa"/>
            <w:shd w:val="clear" w:color="auto" w:fill="F8FAFB"/>
            <w:tcMar>
              <w:top w:w="100" w:type="dxa"/>
              <w:left w:w="100" w:type="dxa"/>
              <w:bottom w:w="100" w:type="dxa"/>
              <w:right w:w="100" w:type="dxa"/>
            </w:tcMar>
            <w:vAlign w:val="center"/>
          </w:tcPr>
          <w:p w14:paraId="0E57B842">
            <w:pPr>
              <w:spacing w:after="0" w:line="240" w:lineRule="auto"/>
            </w:pPr>
            <w:r>
              <w:t>Per-class OOF precision guard: when OOF soft voting predicts a class, how often that prediction is correct.</w:t>
            </w:r>
          </w:p>
        </w:tc>
      </w:tr>
      <w:tr w14:paraId="19BD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100" w:type="dxa"/>
              <w:left w:w="100" w:type="dxa"/>
              <w:bottom w:w="100" w:type="dxa"/>
              <w:right w:w="100" w:type="dxa"/>
            </w:tcMar>
            <w:vAlign w:val="center"/>
          </w:tcPr>
          <w:p w14:paraId="182BA109">
            <w:pPr>
              <w:spacing w:after="0" w:line="240" w:lineRule="auto"/>
            </w:pPr>
            <w:r>
              <w:rPr>
                <w:rFonts w:ascii="Aptos" w:hAnsi="Aptos"/>
                <w:b/>
                <w:color w:val="27343D"/>
                <w:sz w:val="16"/>
              </w:rPr>
              <w:t>Confidence support</w:t>
            </w:r>
          </w:p>
        </w:tc>
        <w:tc>
          <w:tcPr>
            <w:tcW w:w="7200" w:type="dxa"/>
            <w:tcMar>
              <w:top w:w="100" w:type="dxa"/>
              <w:left w:w="100" w:type="dxa"/>
              <w:bottom w:w="100" w:type="dxa"/>
              <w:right w:w="100" w:type="dxa"/>
            </w:tcMar>
            <w:vAlign w:val="center"/>
          </w:tcPr>
          <w:p w14:paraId="733B2691">
            <w:pPr>
              <w:spacing w:after="0" w:line="240" w:lineRule="auto"/>
            </w:pPr>
            <w:r>
              <w:t>Number of OOF predictions of a class underlying its OOF precision estimate.</w:t>
            </w:r>
          </w:p>
        </w:tc>
      </w:tr>
      <w:tr w14:paraId="4638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F8FAFB"/>
            <w:tcMar>
              <w:top w:w="100" w:type="dxa"/>
              <w:left w:w="100" w:type="dxa"/>
              <w:bottom w:w="100" w:type="dxa"/>
              <w:right w:w="100" w:type="dxa"/>
            </w:tcMar>
            <w:vAlign w:val="center"/>
          </w:tcPr>
          <w:p w14:paraId="4813639D">
            <w:pPr>
              <w:spacing w:after="0" w:line="240" w:lineRule="auto"/>
            </w:pPr>
            <w:r>
              <w:rPr>
                <w:rFonts w:ascii="Aptos" w:hAnsi="Aptos"/>
                <w:b/>
                <w:color w:val="27343D"/>
                <w:sz w:val="16"/>
              </w:rPr>
              <w:t>Schema manifest</w:t>
            </w:r>
          </w:p>
        </w:tc>
        <w:tc>
          <w:tcPr>
            <w:tcW w:w="7200" w:type="dxa"/>
            <w:shd w:val="clear" w:color="auto" w:fill="F8FAFB"/>
            <w:tcMar>
              <w:top w:w="100" w:type="dxa"/>
              <w:left w:w="100" w:type="dxa"/>
              <w:bottom w:w="100" w:type="dxa"/>
              <w:right w:w="100" w:type="dxa"/>
            </w:tcMar>
            <w:vAlign w:val="center"/>
          </w:tcPr>
          <w:p w14:paraId="132D3E76">
            <w:pPr>
              <w:spacing w:after="0" w:line="240" w:lineRule="auto"/>
            </w:pPr>
            <w:r>
              <w:rPr>
                <w:rFonts w:ascii="Aptos" w:hAnsi="Aptos"/>
                <w:b w:val="0"/>
                <w:color w:val="27343D"/>
                <w:sz w:val="16"/>
              </w:rPr>
              <w:t>Machine-readable description of output JSON/CSV contracts.</w:t>
            </w:r>
          </w:p>
        </w:tc>
      </w:tr>
      <w:tr w14:paraId="463F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914A4C4">
            <w:pPr>
              <w:spacing w:after="0" w:line="240" w:lineRule="auto"/>
            </w:pPr>
            <w:r>
              <w:t>Final confidence</w:t>
            </w:r>
          </w:p>
        </w:tc>
        <w:tc>
          <w:tcPr>
            <w:tcW w:w="5040" w:type="dxa"/>
          </w:tcPr>
          <w:p w14:paraId="41248078">
            <w:pPr>
              <w:spacing w:after="0" w:line="240" w:lineRule="auto"/>
            </w:pPr>
            <w:r>
              <w:t>The lower of parcel rank confidence and predicted-class reliability: LOW &lt; MEDIUM &lt; HIGH.</w:t>
            </w:r>
          </w:p>
        </w:tc>
      </w:tr>
    </w:tbl>
    <w:p w14:paraId="58B90785">
      <w:pPr>
        <w:spacing w:after="0"/>
      </w:pPr>
    </w:p>
    <w:p w14:paraId="7E60248C">
      <w:pPr>
        <w:pStyle w:val="2"/>
        <w:keepNext/>
      </w:pPr>
      <w:r>
        <w:t>Appendix A — Implementation map</w:t>
      </w:r>
    </w:p>
    <w:p w14:paraId="7913C84D">
      <w:pPr>
        <w:pStyle w:val="13"/>
      </w:pPr>
      <w:r>
        <w:rPr>
          <w:rFonts w:ascii="Aptos" w:hAnsi="Aptos"/>
        </w:rPr>
        <w:t>For maintainers, the main responsibilities are intentionally separated. Computation lives in core modules; steps orchestrate persistence; reporting/visuals format outputs but do not decide model selection.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5DE0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4" w:type="dxa"/>
            <w:shd w:val="clear" w:color="auto" w:fill="17324D"/>
            <w:tcMar>
              <w:top w:w="100" w:type="dxa"/>
              <w:left w:w="100" w:type="dxa"/>
              <w:bottom w:w="100" w:type="dxa"/>
              <w:right w:w="100" w:type="dxa"/>
            </w:tcMar>
            <w:vAlign w:val="center"/>
          </w:tcPr>
          <w:p w14:paraId="14DD6F70">
            <w:pPr>
              <w:spacing w:after="0" w:line="240" w:lineRule="auto"/>
              <w:jc w:val="center"/>
            </w:pPr>
            <w:r>
              <w:rPr>
                <w:rFonts w:ascii="Aptos" w:hAnsi="Aptos"/>
                <w:b/>
                <w:color w:val="FFFFFF"/>
                <w:sz w:val="16"/>
              </w:rPr>
              <w:t>Module</w:t>
            </w:r>
          </w:p>
        </w:tc>
        <w:tc>
          <w:tcPr>
            <w:tcW w:w="6480" w:type="dxa"/>
            <w:shd w:val="clear" w:color="auto" w:fill="17324D"/>
            <w:tcMar>
              <w:top w:w="100" w:type="dxa"/>
              <w:left w:w="100" w:type="dxa"/>
              <w:bottom w:w="100" w:type="dxa"/>
              <w:right w:w="100" w:type="dxa"/>
            </w:tcMar>
            <w:vAlign w:val="center"/>
          </w:tcPr>
          <w:p w14:paraId="123B9DE4">
            <w:pPr>
              <w:spacing w:after="0" w:line="240" w:lineRule="auto"/>
              <w:jc w:val="center"/>
            </w:pPr>
            <w:r>
              <w:rPr>
                <w:rFonts w:ascii="Aptos" w:hAnsi="Aptos"/>
                <w:b/>
                <w:color w:val="FFFFFF"/>
                <w:sz w:val="16"/>
              </w:rPr>
              <w:t>Responsibility</w:t>
            </w:r>
          </w:p>
        </w:tc>
      </w:tr>
      <w:tr w14:paraId="4E6D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3D12A0C7">
            <w:pPr>
              <w:spacing w:after="0" w:line="240" w:lineRule="auto"/>
            </w:pPr>
            <w:r>
              <w:rPr>
                <w:rFonts w:ascii="Aptos" w:hAnsi="Aptos"/>
                <w:b/>
                <w:color w:val="27343D"/>
                <w:sz w:val="16"/>
              </w:rPr>
              <w:t>pipeline.py</w:t>
            </w:r>
          </w:p>
        </w:tc>
        <w:tc>
          <w:tcPr>
            <w:tcW w:w="6480" w:type="dxa"/>
            <w:tcMar>
              <w:top w:w="100" w:type="dxa"/>
              <w:left w:w="100" w:type="dxa"/>
              <w:bottom w:w="100" w:type="dxa"/>
              <w:right w:w="100" w:type="dxa"/>
            </w:tcMar>
            <w:vAlign w:val="center"/>
          </w:tcPr>
          <w:p w14:paraId="2F88BCD6">
            <w:pPr>
              <w:spacing w:after="0" w:line="240" w:lineRule="auto"/>
            </w:pPr>
            <w:r>
              <w:rPr>
                <w:rFonts w:ascii="Aptos" w:hAnsi="Aptos"/>
                <w:b w:val="0"/>
                <w:color w:val="27343D"/>
                <w:sz w:val="16"/>
              </w:rPr>
              <w:t>Composes the five stages and exposes run_all(df).</w:t>
            </w:r>
          </w:p>
        </w:tc>
      </w:tr>
      <w:tr w14:paraId="253C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71C5E4CE">
            <w:pPr>
              <w:spacing w:after="0" w:line="240" w:lineRule="auto"/>
            </w:pPr>
            <w:r>
              <w:rPr>
                <w:rFonts w:ascii="Aptos" w:hAnsi="Aptos"/>
                <w:b/>
                <w:color w:val="27343D"/>
                <w:sz w:val="16"/>
              </w:rPr>
              <w:t>steps/check_step.py</w:t>
            </w:r>
          </w:p>
        </w:tc>
        <w:tc>
          <w:tcPr>
            <w:tcW w:w="6480" w:type="dxa"/>
            <w:shd w:val="clear" w:color="auto" w:fill="F8FAFB"/>
            <w:tcMar>
              <w:top w:w="100" w:type="dxa"/>
              <w:left w:w="100" w:type="dxa"/>
              <w:bottom w:w="100" w:type="dxa"/>
              <w:right w:w="100" w:type="dxa"/>
            </w:tcMar>
            <w:vAlign w:val="center"/>
          </w:tcPr>
          <w:p w14:paraId="75D8D6CD">
            <w:pPr>
              <w:spacing w:after="0" w:line="240" w:lineRule="auto"/>
            </w:pPr>
            <w:r>
              <w:rPr>
                <w:rFonts w:ascii="Aptos" w:hAnsi="Aptos"/>
                <w:b w:val="0"/>
                <w:color w:val="27343D"/>
                <w:sz w:val="16"/>
              </w:rPr>
              <w:t>Step 1 orchestration.</w:t>
            </w:r>
          </w:p>
        </w:tc>
      </w:tr>
      <w:tr w14:paraId="207A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49E77E32">
            <w:pPr>
              <w:spacing w:after="0" w:line="240" w:lineRule="auto"/>
            </w:pPr>
            <w:r>
              <w:rPr>
                <w:rFonts w:ascii="Aptos" w:hAnsi="Aptos"/>
                <w:b/>
                <w:color w:val="27343D"/>
                <w:sz w:val="16"/>
              </w:rPr>
              <w:t>steps/prepare_step.py</w:t>
            </w:r>
          </w:p>
        </w:tc>
        <w:tc>
          <w:tcPr>
            <w:tcW w:w="6480" w:type="dxa"/>
            <w:tcMar>
              <w:top w:w="100" w:type="dxa"/>
              <w:left w:w="100" w:type="dxa"/>
              <w:bottom w:w="100" w:type="dxa"/>
              <w:right w:w="100" w:type="dxa"/>
            </w:tcMar>
            <w:vAlign w:val="center"/>
          </w:tcPr>
          <w:p w14:paraId="75EACB7E">
            <w:pPr>
              <w:spacing w:after="0" w:line="240" w:lineRule="auto"/>
            </w:pPr>
            <w:r>
              <w:rPr>
                <w:rFonts w:ascii="Aptos" w:hAnsi="Aptos"/>
                <w:b w:val="0"/>
                <w:color w:val="27343D"/>
                <w:sz w:val="16"/>
              </w:rPr>
              <w:t>Step 2 split and CV orchestration.</w:t>
            </w:r>
          </w:p>
        </w:tc>
      </w:tr>
      <w:tr w14:paraId="68D76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66A5F821">
            <w:pPr>
              <w:spacing w:after="0" w:line="240" w:lineRule="auto"/>
            </w:pPr>
            <w:r>
              <w:rPr>
                <w:rFonts w:ascii="Aptos" w:hAnsi="Aptos"/>
                <w:b/>
                <w:color w:val="27343D"/>
                <w:sz w:val="16"/>
              </w:rPr>
              <w:t>steps/train_step.py</w:t>
            </w:r>
          </w:p>
        </w:tc>
        <w:tc>
          <w:tcPr>
            <w:tcW w:w="6480" w:type="dxa"/>
            <w:shd w:val="clear" w:color="auto" w:fill="F8FAFB"/>
            <w:tcMar>
              <w:top w:w="100" w:type="dxa"/>
              <w:left w:w="100" w:type="dxa"/>
              <w:bottom w:w="100" w:type="dxa"/>
              <w:right w:w="100" w:type="dxa"/>
            </w:tcMar>
            <w:vAlign w:val="center"/>
          </w:tcPr>
          <w:p w14:paraId="042D4D6C">
            <w:pPr>
              <w:spacing w:after="0" w:line="240" w:lineRule="auto"/>
            </w:pPr>
            <w:r>
              <w:rPr>
                <w:rFonts w:ascii="Aptos" w:hAnsi="Aptos"/>
                <w:b w:val="0"/>
                <w:color w:val="27343D"/>
                <w:sz w:val="16"/>
              </w:rPr>
              <w:t>Search, training, OOF generation and incremental reuse.</w:t>
            </w:r>
          </w:p>
        </w:tc>
      </w:tr>
      <w:tr w14:paraId="36A1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0C04BD66">
            <w:pPr>
              <w:spacing w:after="0" w:line="240" w:lineRule="auto"/>
            </w:pPr>
            <w:r>
              <w:rPr>
                <w:rFonts w:ascii="Aptos" w:hAnsi="Aptos"/>
                <w:b/>
                <w:color w:val="27343D"/>
                <w:sz w:val="16"/>
              </w:rPr>
              <w:t>steps/evaluate_step.py</w:t>
            </w:r>
          </w:p>
        </w:tc>
        <w:tc>
          <w:tcPr>
            <w:tcW w:w="6480" w:type="dxa"/>
            <w:tcMar>
              <w:top w:w="100" w:type="dxa"/>
              <w:left w:w="100" w:type="dxa"/>
              <w:bottom w:w="100" w:type="dxa"/>
              <w:right w:w="100" w:type="dxa"/>
            </w:tcMar>
            <w:vAlign w:val="center"/>
          </w:tcPr>
          <w:p w14:paraId="30EC8DC7">
            <w:pPr>
              <w:spacing w:after="0" w:line="240" w:lineRule="auto"/>
            </w:pPr>
            <w:r>
              <w:rPr>
                <w:rFonts w:ascii="Aptos" w:hAnsi="Aptos"/>
                <w:b w:val="0"/>
                <w:color w:val="27343D"/>
                <w:sz w:val="16"/>
              </w:rPr>
              <w:t>Base evaluation, selection, ranking/confidence artifacts and reporting.</w:t>
            </w:r>
          </w:p>
        </w:tc>
      </w:tr>
      <w:tr w14:paraId="434D9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7CC38348">
            <w:pPr>
              <w:spacing w:after="0" w:line="240" w:lineRule="auto"/>
            </w:pPr>
            <w:r>
              <w:rPr>
                <w:rFonts w:ascii="Aptos" w:hAnsi="Aptos"/>
                <w:b/>
                <w:color w:val="27343D"/>
                <w:sz w:val="16"/>
              </w:rPr>
              <w:t>steps/predict_step.py</w:t>
            </w:r>
          </w:p>
        </w:tc>
        <w:tc>
          <w:tcPr>
            <w:tcW w:w="6480" w:type="dxa"/>
            <w:shd w:val="clear" w:color="auto" w:fill="F8FAFB"/>
            <w:tcMar>
              <w:top w:w="100" w:type="dxa"/>
              <w:left w:w="100" w:type="dxa"/>
              <w:bottom w:w="100" w:type="dxa"/>
              <w:right w:w="100" w:type="dxa"/>
            </w:tcMar>
            <w:vAlign w:val="center"/>
          </w:tcPr>
          <w:p w14:paraId="2A035D86">
            <w:pPr>
              <w:spacing w:after="0" w:line="240" w:lineRule="auto"/>
            </w:pPr>
            <w:r>
              <w:rPr>
                <w:rFonts w:ascii="Aptos" w:hAnsi="Aptos"/>
                <w:b w:val="0"/>
                <w:color w:val="27343D"/>
                <w:sz w:val="16"/>
              </w:rPr>
              <w:t>Frozen-strategy full inference and final output.</w:t>
            </w:r>
          </w:p>
        </w:tc>
      </w:tr>
      <w:tr w14:paraId="3161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079C9056">
            <w:pPr>
              <w:spacing w:after="0" w:line="240" w:lineRule="auto"/>
            </w:pPr>
            <w:r>
              <w:rPr>
                <w:rFonts w:ascii="Aptos" w:hAnsi="Aptos"/>
                <w:b/>
                <w:color w:val="27343D"/>
                <w:sz w:val="16"/>
              </w:rPr>
              <w:t>core/models.py</w:t>
            </w:r>
          </w:p>
        </w:tc>
        <w:tc>
          <w:tcPr>
            <w:tcW w:w="6480" w:type="dxa"/>
            <w:tcMar>
              <w:top w:w="100" w:type="dxa"/>
              <w:left w:w="100" w:type="dxa"/>
              <w:bottom w:w="100" w:type="dxa"/>
              <w:right w:w="100" w:type="dxa"/>
            </w:tcMar>
            <w:vAlign w:val="center"/>
          </w:tcPr>
          <w:p w14:paraId="2C86BB09">
            <w:pPr>
              <w:spacing w:after="0" w:line="240" w:lineRule="auto"/>
            </w:pPr>
            <w:r>
              <w:rPr>
                <w:rFonts w:ascii="Aptos" w:hAnsi="Aptos"/>
                <w:b w:val="0"/>
                <w:color w:val="27343D"/>
                <w:sz w:val="16"/>
              </w:rPr>
              <w:t>Candidate model/preprocessing definitions.</w:t>
            </w:r>
          </w:p>
        </w:tc>
      </w:tr>
      <w:tr w14:paraId="6A9C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36261CF3">
            <w:pPr>
              <w:spacing w:after="0" w:line="240" w:lineRule="auto"/>
            </w:pPr>
            <w:r>
              <w:rPr>
                <w:rFonts w:ascii="Aptos" w:hAnsi="Aptos"/>
                <w:b/>
                <w:color w:val="27343D"/>
                <w:sz w:val="16"/>
              </w:rPr>
              <w:t>core/selection.py</w:t>
            </w:r>
          </w:p>
        </w:tc>
        <w:tc>
          <w:tcPr>
            <w:tcW w:w="6480" w:type="dxa"/>
            <w:shd w:val="clear" w:color="auto" w:fill="F8FAFB"/>
            <w:tcMar>
              <w:top w:w="100" w:type="dxa"/>
              <w:left w:w="100" w:type="dxa"/>
              <w:bottom w:w="100" w:type="dxa"/>
              <w:right w:w="100" w:type="dxa"/>
            </w:tcMar>
            <w:vAlign w:val="center"/>
          </w:tcPr>
          <w:p w14:paraId="67C22CE0">
            <w:pPr>
              <w:spacing w:after="0" w:line="240" w:lineRule="auto"/>
            </w:pPr>
            <w:r>
              <w:rPr>
                <w:rFonts w:ascii="Aptos" w:hAnsi="Aptos"/>
                <w:b w:val="0"/>
                <w:color w:val="27343D"/>
                <w:sz w:val="16"/>
              </w:rPr>
              <w:t>CV model ranking, soft voting, optional class multipliers and final refit.</w:t>
            </w:r>
          </w:p>
        </w:tc>
      </w:tr>
      <w:tr w14:paraId="7319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14C3C244">
            <w:pPr>
              <w:spacing w:after="0" w:line="240" w:lineRule="auto"/>
            </w:pPr>
            <w:r>
              <w:rPr>
                <w:rFonts w:ascii="Aptos" w:hAnsi="Aptos"/>
                <w:b/>
                <w:color w:val="27343D"/>
                <w:sz w:val="16"/>
              </w:rPr>
              <w:t>core/rank_confidence.py</w:t>
            </w:r>
          </w:p>
        </w:tc>
        <w:tc>
          <w:tcPr>
            <w:tcW w:w="6480" w:type="dxa"/>
            <w:tcMar>
              <w:top w:w="100" w:type="dxa"/>
              <w:left w:w="100" w:type="dxa"/>
              <w:bottom w:w="100" w:type="dxa"/>
              <w:right w:w="100" w:type="dxa"/>
            </w:tcMar>
            <w:vAlign w:val="center"/>
          </w:tcPr>
          <w:p w14:paraId="65EFB9D5">
            <w:pPr>
              <w:spacing w:after="0" w:line="240" w:lineRule="auto"/>
            </w:pPr>
            <w:r>
              <w:t>Within-model average ranks, 0–100 Borda scores, rank range, Borda-winner checks and parcel rank H/M/L.</w:t>
            </w:r>
          </w:p>
        </w:tc>
      </w:tr>
      <w:tr w14:paraId="7920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33EF24D3">
            <w:pPr>
              <w:spacing w:after="0" w:line="240" w:lineRule="auto"/>
            </w:pPr>
            <w:r>
              <w:rPr>
                <w:rFonts w:ascii="Aptos" w:hAnsi="Aptos"/>
                <w:b/>
                <w:color w:val="27343D"/>
                <w:sz w:val="16"/>
              </w:rPr>
              <w:t>core/rank_confidence_calibration.py</w:t>
            </w:r>
          </w:p>
        </w:tc>
        <w:tc>
          <w:tcPr>
            <w:tcW w:w="6480" w:type="dxa"/>
            <w:shd w:val="clear" w:color="auto" w:fill="F8FAFB"/>
            <w:tcMar>
              <w:top w:w="100" w:type="dxa"/>
              <w:left w:w="100" w:type="dxa"/>
              <w:bottom w:w="100" w:type="dxa"/>
              <w:right w:w="100" w:type="dxa"/>
            </w:tcMar>
            <w:vAlign w:val="center"/>
          </w:tcPr>
          <w:p w14:paraId="4CC5530F">
            <w:pPr>
              <w:spacing w:after="0" w:line="240" w:lineRule="auto"/>
            </w:pPr>
            <w:r>
              <w:t>Legacy class × Top-1 calibration retained only for import compatibility; Steps 4 and 5 do not use it.</w:t>
            </w:r>
          </w:p>
        </w:tc>
      </w:tr>
      <w:tr w14:paraId="31D5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1BE4E4EE">
            <w:pPr>
              <w:spacing w:after="0" w:line="240" w:lineRule="auto"/>
            </w:pPr>
            <w:r>
              <w:rPr>
                <w:rFonts w:ascii="Aptos" w:hAnsi="Aptos"/>
                <w:b/>
                <w:color w:val="27343D"/>
                <w:sz w:val="16"/>
              </w:rPr>
              <w:t>core/spatial_split.py</w:t>
            </w:r>
          </w:p>
        </w:tc>
        <w:tc>
          <w:tcPr>
            <w:tcW w:w="6480" w:type="dxa"/>
            <w:tcMar>
              <w:top w:w="100" w:type="dxa"/>
              <w:left w:w="100" w:type="dxa"/>
              <w:bottom w:w="100" w:type="dxa"/>
              <w:right w:w="100" w:type="dxa"/>
            </w:tcMar>
            <w:vAlign w:val="center"/>
          </w:tcPr>
          <w:p w14:paraId="6168E929">
            <w:pPr>
              <w:spacing w:after="0" w:line="240" w:lineRule="auto"/>
            </w:pPr>
            <w:r>
              <w:rPr>
                <w:rFonts w:ascii="Aptos" w:hAnsi="Aptos"/>
                <w:b w:val="0"/>
                <w:color w:val="27343D"/>
                <w:sz w:val="16"/>
              </w:rPr>
              <w:t>Geospatial train/test and group CV utilities.</w:t>
            </w:r>
          </w:p>
        </w:tc>
      </w:tr>
      <w:tr w14:paraId="6EBA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B"/>
            <w:tcMar>
              <w:top w:w="100" w:type="dxa"/>
              <w:left w:w="100" w:type="dxa"/>
              <w:bottom w:w="100" w:type="dxa"/>
              <w:right w:w="100" w:type="dxa"/>
            </w:tcMar>
            <w:vAlign w:val="center"/>
          </w:tcPr>
          <w:p w14:paraId="3E920098">
            <w:pPr>
              <w:spacing w:after="0" w:line="240" w:lineRule="auto"/>
            </w:pPr>
            <w:r>
              <w:rPr>
                <w:rFonts w:ascii="Aptos" w:hAnsi="Aptos"/>
                <w:b/>
                <w:color w:val="27343D"/>
                <w:sz w:val="16"/>
              </w:rPr>
              <w:t>core/spatial_interpolation.py</w:t>
            </w:r>
          </w:p>
        </w:tc>
        <w:tc>
          <w:tcPr>
            <w:tcW w:w="6480" w:type="dxa"/>
            <w:shd w:val="clear" w:color="auto" w:fill="F8FAFB"/>
            <w:tcMar>
              <w:top w:w="100" w:type="dxa"/>
              <w:left w:w="100" w:type="dxa"/>
              <w:bottom w:w="100" w:type="dxa"/>
              <w:right w:w="100" w:type="dxa"/>
            </w:tcMar>
            <w:vAlign w:val="center"/>
          </w:tcPr>
          <w:p w14:paraId="248E8690">
            <w:pPr>
              <w:spacing w:after="0" w:line="240" w:lineRule="auto"/>
            </w:pPr>
            <w:r>
              <w:rPr>
                <w:rFonts w:ascii="Aptos" w:hAnsi="Aptos"/>
                <w:b w:val="0"/>
                <w:color w:val="27343D"/>
                <w:sz w:val="16"/>
              </w:rPr>
              <w:t>Optional spatial missing-value filling.</w:t>
            </w:r>
          </w:p>
        </w:tc>
      </w:tr>
      <w:tr w14:paraId="2756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Mar>
              <w:top w:w="100" w:type="dxa"/>
              <w:left w:w="100" w:type="dxa"/>
              <w:bottom w:w="100" w:type="dxa"/>
              <w:right w:w="100" w:type="dxa"/>
            </w:tcMar>
            <w:vAlign w:val="center"/>
          </w:tcPr>
          <w:p w14:paraId="2B392D48">
            <w:pPr>
              <w:spacing w:after="0" w:line="240" w:lineRule="auto"/>
            </w:pPr>
            <w:r>
              <w:rPr>
                <w:rFonts w:ascii="Aptos" w:hAnsi="Aptos"/>
                <w:b/>
                <w:color w:val="27343D"/>
                <w:sz w:val="16"/>
              </w:rPr>
              <w:t>reporting/* and visuals/*</w:t>
            </w:r>
          </w:p>
        </w:tc>
        <w:tc>
          <w:tcPr>
            <w:tcW w:w="6480" w:type="dxa"/>
            <w:tcMar>
              <w:top w:w="100" w:type="dxa"/>
              <w:left w:w="100" w:type="dxa"/>
              <w:bottom w:w="100" w:type="dxa"/>
              <w:right w:w="100" w:type="dxa"/>
            </w:tcMar>
            <w:vAlign w:val="center"/>
          </w:tcPr>
          <w:p w14:paraId="705E562F">
            <w:pPr>
              <w:spacing w:after="0" w:line="240" w:lineRule="auto"/>
            </w:pPr>
            <w:r>
              <w:rPr>
                <w:rFonts w:ascii="Aptos" w:hAnsi="Aptos"/>
                <w:b w:val="0"/>
                <w:color w:val="27343D"/>
                <w:sz w:val="16"/>
              </w:rPr>
              <w:t>HTML reports, plots, maps and interpretability graphics.</w:t>
            </w:r>
          </w:p>
        </w:tc>
      </w:tr>
      <w:tr w14:paraId="28CC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D788ECF">
            <w:pPr>
              <w:spacing w:after="0" w:line="240" w:lineRule="auto"/>
            </w:pPr>
            <w:r>
              <w:t>core/class_reliability.py</w:t>
            </w:r>
          </w:p>
        </w:tc>
        <w:tc>
          <w:tcPr>
            <w:tcW w:w="5040" w:type="dxa"/>
          </w:tcPr>
          <w:p w14:paraId="3A0C05FC">
            <w:pPr>
              <w:spacing w:after="0" w:line="240" w:lineRule="auto"/>
            </w:pPr>
            <w:r>
              <w:t>OOF per-class precision/support table, frozen reliability lookup, and final min(rank, class) confidence combination.</w:t>
            </w:r>
          </w:p>
        </w:tc>
      </w:tr>
    </w:tbl>
    <w:p w14:paraId="5A6BC430">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623BBEB9">
        <w:tblPrEx>
          <w:tblCellMar>
            <w:top w:w="0" w:type="dxa"/>
            <w:left w:w="108" w:type="dxa"/>
            <w:bottom w:w="0" w:type="dxa"/>
            <w:right w:w="108" w:type="dxa"/>
          </w:tblCellMar>
        </w:tblPrEx>
        <w:trPr>
          <w:jc w:val="center"/>
        </w:trPr>
        <w:tc>
          <w:tcPr>
            <w:tcW w:w="10080" w:type="dxa"/>
            <w:shd w:val="clear" w:color="auto" w:fill="F3F6F8"/>
            <w:tcMar>
              <w:top w:w="130" w:type="dxa"/>
              <w:left w:w="160" w:type="dxa"/>
              <w:bottom w:w="130" w:type="dxa"/>
              <w:right w:w="160" w:type="dxa"/>
            </w:tcMar>
          </w:tcPr>
          <w:p w14:paraId="60264D7D">
            <w:pPr>
              <w:spacing w:after="40"/>
            </w:pPr>
            <w:r>
              <w:rPr>
                <w:rFonts w:ascii="Aptos" w:hAnsi="Aptos"/>
                <w:b/>
                <w:color w:val="17324D"/>
                <w:sz w:val="20"/>
              </w:rPr>
              <w:t xml:space="preserve">Document scope  </w:t>
            </w:r>
            <w:r>
              <w:rPr>
                <w:rFonts w:ascii="Aptos" w:hAnsi="Aptos"/>
                <w:color w:val="27343D"/>
                <w:sz w:val="20"/>
              </w:rPr>
              <w:t>This manual describes the behavior present in the reviewed source snapshot. Configuration choices can materially change training cost, split strictness, model selection and confidence coverage; the saved configuration and selection_summary.json are the authoritative record for a particular run.</w:t>
            </w:r>
          </w:p>
        </w:tc>
      </w:tr>
    </w:tbl>
    <w:p w14:paraId="64A91110">
      <w:pPr>
        <w:spacing w:after="0"/>
      </w:pPr>
    </w:p>
    <w:sectPr>
      <w:pgSz w:w="12240" w:h="15840"/>
      <w:pgMar w:top="1080" w:right="1080" w:bottom="1008" w:left="108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E363D">
    <w:pPr>
      <w:pStyle w:val="18"/>
      <w:jc w:val="right"/>
    </w:pPr>
    <w:r>
      <w:rPr>
        <w:rFonts w:ascii="Aptos" w:hAnsi="Aptos"/>
        <w:color w:val="6B7780"/>
        <w:sz w:val="17"/>
      </w:rPr>
      <w:t xml:space="preserve">Page </w:t>
    </w:r>
    <w:r>
      <w:rPr>
        <w:rFonts w:ascii="Aptos" w:hAnsi="Aptos"/>
        <w:color w:val="6B7780"/>
        <w:sz w:val="17"/>
      </w:rPr>
      <w:fldChar w:fldCharType="begin"/>
    </w:r>
    <w:r>
      <w:rPr>
        <w:rFonts w:ascii="Aptos" w:hAnsi="Aptos"/>
        <w:color w:val="6B7780"/>
        <w:sz w:val="17"/>
      </w:rPr>
      <w:instrText xml:space="preserve">PAGE</w:instrText>
    </w:r>
    <w:r>
      <w:rPr>
        <w:rFonts w:ascii="Aptos" w:hAnsi="Aptos"/>
        <w:color w:val="6B7780"/>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AFAC0">
    <w:pPr>
      <w:pStyle w:val="19"/>
      <w:jc w:val="right"/>
    </w:pPr>
    <w:r>
      <w:rPr>
        <w:rFonts w:ascii="Aptos" w:hAnsi="Aptos"/>
        <w:color w:val="6B7780"/>
        <w:sz w:val="16"/>
      </w:rPr>
      <w:t>ML Classification Pipeline  |  Architecture &amp;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CB50ED"/>
    <w:rsid w:val="7B5E1C16"/>
    <w:rsid w:val="7BF655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24D"/>
      <w:sz w:val="36"/>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E6F9E"/>
      <w:sz w:val="28"/>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A9D8F"/>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line="259" w:lineRule="auto"/>
    </w:pPr>
    <w:rPr>
      <w:rFonts w:ascii="Aptos" w:hAnsi="Aptos"/>
      <w:sz w:val="20"/>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rPr>
      <w:rFonts w:ascii="Aptos" w:hAnsi="Aptos"/>
      <w:sz w:val="20"/>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Aptos" w:hAnsi="Aptos"/>
      <w:sz w:val="20"/>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6B7780"/>
      <w:spacing w:val="15"/>
      <w:sz w:val="28"/>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24D"/>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4720</Words>
  <Characters>27429</Characters>
  <Lines>0</Lines>
  <Paragraphs>0</Paragraphs>
  <TotalTime>304</TotalTime>
  <ScaleCrop>false</ScaleCrop>
  <LinksUpToDate>false</LinksUpToDate>
  <CharactersWithSpaces>31660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from the latest reviewed source implementation.</dc:description>
  <cp:keywords>machine learning, geospatial, parcel classification, soft voting, rank confidence, OOF calibration</cp:keywords>
  <cp:lastModifiedBy>Eleni Louvari</cp:lastModifiedBy>
  <dcterms:modified xsi:type="dcterms:W3CDTF">2026-08-24T14:46:39Z</dcterms:modified>
  <dc:subject>Geospatial parcel classification pipeline architecture and output interpretation</dc:subject>
  <dc:title>Machine Learning Classification Pipeline — Architecture, Methodology and User Manual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eyJoZGlkIjoiMTczMGQ0NWY2OWYxOWQ0YTdiMzUyY2NjMjJkNTMwODYiLCJ1c2VySWQiOiI2NTk3MDcwODc5MjQ1In0=</vt:lpwstr>
  </property>
  <property fmtid="{D5CDD505-2E9C-101B-9397-08002B2CF9AE}" pid="3" name="KSOProductBuildVer">
    <vt:lpwstr>1033-12.1.0.28032</vt:lpwstr>
  </property>
  <property fmtid="{D5CDD505-2E9C-101B-9397-08002B2CF9AE}" pid="4" name="ICV">
    <vt:lpwstr>9B416C36EFAE4F38B37F7DA9D673D3FB_12</vt:lpwstr>
  </property>
</Properties>
</file>