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Weekly Portfolio Report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Saturday, October 10, 2026</w:t>
      </w:r>
    </w:p>
    <w:p>
      <w:pPr>
        <w:spacing w:after="120"/>
        <w:jc w:val="center"/>
      </w:pPr>
      <w:r>
        <w:rPr>
          <w:i/>
          <w:iCs/>
          <w:color w:val="595959"/>
          <w:sz w:val="24"/>
          <w:szCs w:val="24"/>
        </w:rPr>
        <w:t xml:space="preserve">Market analysis &amp; investment signals</w:t>
      </w:r>
    </w:p>
    <w:p>
      <w:pPr>
        <w:jc w:val="center"/>
      </w:pPr>
      <w:r>
        <w:rPr>
          <w:color w:val="595959"/>
          <w:sz w:val="22"/>
          <w:szCs w:val="22"/>
        </w:rPr>
        <w:t xml:space="preserve">ILLUSTRATIVE SAMPLE — fictitious figures · Growth profile · EUR · 3 assets</w:t>
      </w:r>
    </w:p>
    <w:p>
      <w:r>
        <w:br w:type="page"/>
      </w:r>
    </w:p>
    <w:p>
      <w:pPr>
        <w:pStyle w:val="Heading1"/>
      </w:pPr>
      <w:r>
        <w:t xml:space="preserve">1. Macro view of the week</w:t>
      </w:r>
    </w:p>
    <w:p>
      <w:pPr>
        <w:spacing w:after="120"/>
      </w:pPr>
      <w:r>
        <w:t xml:space="preserve">Sample paragraph. The real report summarises the week's central-bank decisions, inflation and growth data, and geopolitical events, and links them to the asset types in your watchlist.</w:t>
      </w:r>
    </w:p>
    <w:p>
      <w:pPr>
        <w:spacing w:after="120"/>
      </w:pPr>
      <w:r>
        <w:t xml:space="preserve">Sample paragraph. A second paragraph typically covers rates, the dollar and commodity trends.</w:t>
      </w:r>
    </w:p>
    <w:p>
      <w:pPr>
        <w:pStyle w:val="Heading1"/>
      </w:pPr>
      <w:r>
        <w:t xml:space="preserve">2. Market news</w:t>
      </w:r>
    </w:p>
    <w:p>
      <w:pPr>
        <w:pStyle w:val="ListParagraph"/>
        <w:numPr>
          <w:ilvl w:val="0"/>
          <w:numId w:val="2"/>
        </w:numPr>
      </w:pPr>
      <w:r>
        <w:t xml:space="preserve">Sample bullet: central bank leaves rates unchanged, signals data dependence.</w:t>
      </w:r>
    </w:p>
    <w:p>
      <w:pPr>
        <w:pStyle w:val="ListParagraph"/>
        <w:numPr>
          <w:ilvl w:val="0"/>
          <w:numId w:val="2"/>
        </w:numPr>
      </w:pPr>
      <w:r>
        <w:t xml:space="preserve">Sample bullet: inflation print comes in slightly below expectations.</w:t>
      </w:r>
    </w:p>
    <w:p>
      <w:pPr>
        <w:pStyle w:val="ListParagraph"/>
        <w:numPr>
          <w:ilvl w:val="0"/>
          <w:numId w:val="2"/>
        </w:numPr>
      </w:pPr>
      <w:r>
        <w:t xml:space="preserve">Sample bullet: commodity prices firm on supply concerns.</w:t>
      </w:r>
    </w:p>
    <w:p>
      <w:pPr>
        <w:pStyle w:val="Heading1"/>
      </w:pPr>
      <w:r>
        <w:t xml:space="preserve">3. Asset-by-asset analysis</w:t>
      </w:r>
    </w:p>
    <w:p>
      <w:pPr>
        <w:pStyle w:val="Heading2"/>
      </w:pPr>
      <w:r>
        <w:t xml:space="preserve">MSCI World (Amundi PEA, CW8)</w:t>
      </w:r>
    </w:p>
    <w:p>
      <w:pPr>
        <w:spacing w:after="60"/>
      </w:pPr>
      <w:r>
        <w:rPr>
          <w:b/>
          <w:bCs/>
        </w:rPr>
        <w:t xml:space="preserve">Current price: </w:t>
      </w:r>
      <w:r>
        <w:t xml:space="preserve">€500.00</w:t>
      </w:r>
    </w:p>
    <w:p>
      <w:pPr>
        <w:spacing w:after="60"/>
      </w:pPr>
      <w:r>
        <w:rPr>
          <w:b/>
          <w:bCs/>
        </w:rPr>
        <w:t xml:space="preserve">Weekly change: </w:t>
      </w:r>
      <w:r>
        <w:t xml:space="preserve">+1.0%</w:t>
      </w:r>
    </w:p>
    <w:p>
      <w:pPr>
        <w:spacing w:after="60"/>
      </w:pPr>
      <w:r>
        <w:rPr>
          <w:b/>
          <w:bCs/>
        </w:rPr>
        <w:t xml:space="preserve">Portfolio weight: </w:t>
      </w:r>
      <w:r>
        <w:t xml:space="preserve">45%</w:t>
      </w:r>
    </w:p>
    <w:p>
      <w:pPr>
        <w:spacing w:after="60" w:before="120"/>
      </w:pPr>
      <w:r>
        <w:rPr>
          <w:b/>
          <w:bCs/>
        </w:rPr>
        <w:t xml:space="preserve">Macro and fundamental context</w:t>
      </w:r>
    </w:p>
    <w:p>
      <w:pPr>
        <w:spacing w:after="120"/>
      </w:pPr>
      <w:r>
        <w:t xml:space="preserve">Sample context paragraph covering earnings, valuation and the macro regime for global developed-market equities.</w:t>
      </w:r>
    </w:p>
    <w:p>
      <w:pPr>
        <w:spacing w:after="60" w:before="120"/>
      </w:pPr>
      <w:r>
        <w:rPr>
          <w:b/>
          <w:bCs/>
        </w:rPr>
        <w:t xml:space="preserve">Recent news</w:t>
      </w:r>
    </w:p>
    <w:p>
      <w:pPr>
        <w:pStyle w:val="ListParagraph"/>
        <w:numPr>
          <w:ilvl w:val="0"/>
          <w:numId w:val="2"/>
        </w:numPr>
      </w:pPr>
      <w:r>
        <w:t xml:space="preserve">Sample: large-cap earnings season starts next week.</w:t>
      </w:r>
    </w:p>
    <w:p>
      <w:pPr>
        <w:spacing w:after="200" w:before="120"/>
      </w:pPr>
      <w:r>
        <w:rPr>
          <w:b/>
          <w:bCs/>
        </w:rPr>
        <w:t xml:space="preserve">Entry signal: </w:t>
      </w:r>
      <w:r>
        <w:rPr>
          <w:b/>
          <w:bCs/>
          <w:shd w:fill="FFEB9C" w:color="auto" w:val="clear"/>
        </w:rPr>
        <w:t xml:space="preserve"> Neutral </w:t>
      </w:r>
      <w:r>
        <w:t xml:space="preserve"> — Score +1: steady trend, valuation above average. Within the neutral band for a growth profile.</w:t>
      </w:r>
    </w:p>
    <w:p>
      <w:pPr>
        <w:pStyle w:val="Heading2"/>
      </w:pPr>
      <w:r>
        <w:t xml:space="preserve">Gold (XAU/USD)</w:t>
      </w:r>
    </w:p>
    <w:p>
      <w:pPr>
        <w:spacing w:after="60"/>
      </w:pPr>
      <w:r>
        <w:rPr>
          <w:b/>
          <w:bCs/>
        </w:rPr>
        <w:t xml:space="preserve">Current price: </w:t>
      </w:r>
      <w:r>
        <w:t xml:space="preserve">$2,500</w:t>
      </w:r>
    </w:p>
    <w:p>
      <w:pPr>
        <w:spacing w:after="60"/>
      </w:pPr>
      <w:r>
        <w:rPr>
          <w:b/>
          <w:bCs/>
        </w:rPr>
        <w:t xml:space="preserve">Weekly change: </w:t>
      </w:r>
      <w:r>
        <w:t xml:space="preserve">+2.0%</w:t>
      </w:r>
    </w:p>
    <w:p>
      <w:pPr>
        <w:spacing w:after="60"/>
      </w:pPr>
      <w:r>
        <w:rPr>
          <w:b/>
          <w:bCs/>
        </w:rPr>
        <w:t xml:space="preserve">Portfolio weight: </w:t>
      </w:r>
      <w:r>
        <w:t xml:space="preserve">10%</w:t>
      </w:r>
    </w:p>
    <w:p>
      <w:pPr>
        <w:spacing w:after="60" w:before="120"/>
      </w:pPr>
      <w:r>
        <w:rPr>
          <w:b/>
          <w:bCs/>
        </w:rPr>
        <w:t xml:space="preserve">Macro and fundamental context</w:t>
      </w:r>
    </w:p>
    <w:p>
      <w:pPr>
        <w:spacing w:after="120"/>
      </w:pPr>
      <w:r>
        <w:t xml:space="preserve">Sample context paragraph covering real rates, the dollar and central-bank purchases.</w:t>
      </w:r>
    </w:p>
    <w:p>
      <w:pPr>
        <w:spacing w:after="60" w:before="120"/>
      </w:pPr>
      <w:r>
        <w:rPr>
          <w:b/>
          <w:bCs/>
        </w:rPr>
        <w:t xml:space="preserve">Recent news</w:t>
      </w:r>
    </w:p>
    <w:p>
      <w:pPr>
        <w:pStyle w:val="ListParagraph"/>
        <w:numPr>
          <w:ilvl w:val="0"/>
          <w:numId w:val="2"/>
        </w:numPr>
      </w:pPr>
      <w:r>
        <w:t xml:space="preserve">Sample: central-bank gold purchases continue.</w:t>
      </w:r>
    </w:p>
    <w:p>
      <w:pPr>
        <w:spacing w:after="200" w:before="120"/>
      </w:pPr>
      <w:r>
        <w:rPr>
          <w:b/>
          <w:bCs/>
        </w:rPr>
        <w:t xml:space="preserve">Entry signal: </w:t>
      </w:r>
      <w:r>
        <w:rPr>
          <w:b/>
          <w:bCs/>
          <w:shd w:fill="C6EFCE" w:color="auto" w:val="clear"/>
        </w:rPr>
        <w:t xml:space="preserve"> Buy </w:t>
      </w:r>
      <w:r>
        <w:t xml:space="preserve"> — Score +3: uptrend holding above supports, supportive macro. Entry conditions look favourable.</w:t>
      </w:r>
    </w:p>
    <w:p>
      <w:pPr>
        <w:pStyle w:val="Heading2"/>
      </w:pPr>
      <w:r>
        <w:t xml:space="preserve">Bitcoin (BTC/USD)</w:t>
      </w:r>
    </w:p>
    <w:p>
      <w:pPr>
        <w:spacing w:after="60"/>
      </w:pPr>
      <w:r>
        <w:rPr>
          <w:b/>
          <w:bCs/>
        </w:rPr>
        <w:t xml:space="preserve">Current price: </w:t>
      </w:r>
      <w:r>
        <w:t xml:space="preserve">n/a</w:t>
      </w:r>
    </w:p>
    <w:p>
      <w:pPr>
        <w:spacing w:after="60"/>
      </w:pPr>
      <w:r>
        <w:rPr>
          <w:b/>
          <w:bCs/>
        </w:rPr>
        <w:t xml:space="preserve">Weekly change: </w:t>
      </w:r>
      <w:r>
        <w:t xml:space="preserve">n/a</w:t>
      </w:r>
    </w:p>
    <w:p>
      <w:pPr>
        <w:spacing w:after="60"/>
      </w:pPr>
      <w:r>
        <w:rPr>
          <w:b/>
          <w:bCs/>
        </w:rPr>
        <w:t xml:space="preserve">Portfolio weight: </w:t>
      </w:r>
      <w:r>
        <w:t xml:space="preserve">8%</w:t>
      </w:r>
    </w:p>
    <w:p>
      <w:pPr>
        <w:spacing w:after="60" w:before="120"/>
      </w:pPr>
      <w:r>
        <w:rPr>
          <w:b/>
          <w:bCs/>
        </w:rPr>
        <w:t xml:space="preserve">Macro and fundamental context</w:t>
      </w:r>
    </w:p>
    <w:p>
      <w:pPr>
        <w:spacing w:after="120"/>
      </w:pPr>
      <w:r>
        <w:t xml:space="preserve">Sample context paragraph. When a price cannot be verified, the report shows n/a and says so instead of inventing a number.</w:t>
      </w:r>
    </w:p>
    <w:p>
      <w:pPr>
        <w:spacing w:after="60" w:before="120"/>
      </w:pPr>
      <w:r>
        <w:rPr>
          <w:b/>
          <w:bCs/>
        </w:rPr>
        <w:t xml:space="preserve">Recent news</w:t>
      </w:r>
    </w:p>
    <w:p>
      <w:pPr>
        <w:pStyle w:val="ListParagraph"/>
        <w:numPr>
          <w:ilvl w:val="0"/>
          <w:numId w:val="2"/>
        </w:numPr>
      </w:pPr>
      <w:r>
        <w:t xml:space="preserve">Sample: price could not be verified from a reliable source this week.</w:t>
      </w:r>
    </w:p>
    <w:p>
      <w:pPr>
        <w:spacing w:after="200" w:before="120"/>
      </w:pPr>
      <w:r>
        <w:rPr>
          <w:b/>
          <w:bCs/>
        </w:rPr>
        <w:t xml:space="preserve">Entry signal: </w:t>
      </w:r>
      <w:r>
        <w:rPr>
          <w:b/>
          <w:bCs/>
          <w:shd w:fill="FFCC99" w:color="auto" w:val="clear"/>
        </w:rPr>
        <w:t xml:space="preserve"> Wait </w:t>
      </w:r>
      <w:r>
        <w:t xml:space="preserve"> — Score −2: breaking short-term support. Wait for stabilisation.</w:t>
      </w:r>
    </w:p>
    <w:p>
      <w:pPr>
        <w:pStyle w:val="Heading1"/>
      </w:pPr>
      <w:r>
        <w:t xml:space="preserve">4. Alignment with your goals</w:t>
      </w:r>
    </w:p>
    <w:p>
      <w:pPr>
        <w:spacing w:after="120"/>
      </w:pPr>
      <w:r>
        <w:t xml:space="preserve">Sample paragraph. The real report checks the watchlist's risk level against your profile, whether money for short-term goals is exposed to volatile assets, and flags concentration when weights are provided.</w:t>
      </w:r>
    </w:p>
    <w:p>
      <w:pPr>
        <w:pStyle w:val="Heading1"/>
      </w:pPr>
      <w:r>
        <w:t xml:space="preserve">5. Signal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2000"/>
        <w:gridCol w:w="1800"/>
        <w:gridCol w:w="2000"/>
      </w:tblGrid>
      <w:tr>
        <w:trPr>
          <w:tblHeader/>
        </w:trP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Asset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MSCI World (Amundi PEA, CW8)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€500.00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+1.0%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Neutral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Gold (XAU/USD)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$2,500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+2.0%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Buy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Bitcoin (BTC/USD)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C9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Wait</w:t>
            </w:r>
          </w:p>
        </w:tc>
      </w:tr>
    </w:tbl>
    <w:p>
      <w:pPr>
        <w:pStyle w:val="Heading1"/>
      </w:pPr>
      <w:r>
        <w:t xml:space="preserve">Sources</w:t>
      </w:r>
    </w:p>
    <w:p>
      <w:pPr>
        <w:pStyle w:val="ListParagraph"/>
        <w:numPr>
          <w:ilvl w:val="0"/>
          <w:numId w:val="2"/>
        </w:numPr>
      </w:pPr>
      <w:hyperlink w:history="1" r:id="rIdbq0pugj-d3cr4xdudicwj">
        <w:r>
          <w:rPr>
            <w:rStyle w:val="Hyperlink"/>
          </w:rPr>
          <w:t xml:space="preserve">Example source — replaced by real, dated sources in each report</w:t>
        </w:r>
      </w:hyperlink>
      <w:r>
        <w:t xml:space="preserve"> (2026-10-09)</w:t>
      </w:r>
    </w:p>
    <w:p>
      <w:pPr>
        <w:spacing w:before="360"/>
      </w:pPr>
      <w:r>
        <w:rPr>
          <w:i/>
          <w:iCs/>
          <w:color w:val="595959"/>
          <w:sz w:val="18"/>
          <w:szCs w:val="18"/>
        </w:rPr>
        <w:t xml:space="preserve">This report is for informational purposes only and does not constitute investment advice. Signals are generated automatically from public information and a self-declared profile.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Report of Saturday, October 10, 2026 —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2400"/>
      <w:jc w:val="center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206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bq0pugj-d3cr4xdudicwj" Type="http://schemas.openxmlformats.org/officeDocument/2006/relationships/hyperlink" Target="https://example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2026-10-08T17:05:15.282Z</dcterms:created>
  <dcterms:modified xsi:type="dcterms:W3CDTF">2026-10-08T17:05:15.283Z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