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B6C9" w14:textId="77777777" w:rsidR="006C6933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Éléonore Lemieux </w:t>
      </w:r>
    </w:p>
    <w:p w14:paraId="2E9182B7" w14:textId="15AEEBCF" w:rsidR="00A4562A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536773222</w:t>
      </w:r>
    </w:p>
    <w:p w14:paraId="72991A38" w14:textId="5E6D3E36" w:rsidR="006C6933" w:rsidRPr="00B25F84" w:rsidRDefault="006C6933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F876EF" w14:textId="19F77615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9D381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30051F" w14:textId="77777777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BIF-2102</w:t>
      </w:r>
    </w:p>
    <w:p w14:paraId="15415460" w14:textId="77777777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Projet de recherche en bio-informatique III</w:t>
      </w:r>
    </w:p>
    <w:p w14:paraId="5100E9C8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F804A3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D07DEB" w14:textId="4D1082B6" w:rsidR="00A4562A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5F84">
        <w:rPr>
          <w:rFonts w:ascii="Times New Roman" w:hAnsi="Times New Roman" w:cs="Times New Roman"/>
          <w:b/>
          <w:bCs/>
          <w:sz w:val="24"/>
          <w:szCs w:val="24"/>
        </w:rPr>
        <w:t>Outil bio-informatique de métagénomique virale</w:t>
      </w:r>
    </w:p>
    <w:p w14:paraId="6F517593" w14:textId="5E7FCEDE" w:rsidR="00EA5F9E" w:rsidRPr="00B25F84" w:rsidRDefault="009A1968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1093FFA8" w14:textId="18C39232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C4A8D" w14:textId="5BC9AB96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Rapport présenté à</w:t>
      </w:r>
    </w:p>
    <w:p w14:paraId="62C88BE8" w14:textId="4FFE32EC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Antony Vincent</w:t>
      </w:r>
    </w:p>
    <w:p w14:paraId="65F45EF3" w14:textId="064E9FC0" w:rsidR="00E20C01" w:rsidRPr="00B25F84" w:rsidRDefault="00000000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20C01" w:rsidRPr="00B25F84">
          <w:rPr>
            <w:rStyle w:val="Lienhypertexte"/>
            <w:rFonts w:ascii="Times New Roman" w:hAnsi="Times New Roman" w:cs="Times New Roman"/>
            <w:sz w:val="24"/>
            <w:szCs w:val="24"/>
          </w:rPr>
          <w:t>antony.vincent@fsaa.ulaval.ca</w:t>
        </w:r>
      </w:hyperlink>
      <w:r w:rsidR="00E20C01" w:rsidRPr="00B25F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3370F" w14:textId="59D6A3FA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D8198" w14:textId="10415A8C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3B546C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F11DF5" w14:textId="0971724E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19 août 2022</w:t>
      </w:r>
      <w:r w:rsidRPr="00B25F84">
        <w:rPr>
          <w:rFonts w:ascii="Times New Roman" w:hAnsi="Times New Roman" w:cs="Times New Roman"/>
          <w:sz w:val="24"/>
          <w:szCs w:val="24"/>
        </w:rPr>
        <w:br/>
        <w:t>Durée : 16 semaines</w:t>
      </w:r>
    </w:p>
    <w:p w14:paraId="391B1123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F1615B" w14:textId="43F844A2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IBIS, Pavillon Eugène-Marchand, Université Laval</w:t>
      </w:r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lang w:val="fr-FR" w:eastAsia="en-US"/>
        </w:rPr>
        <w:id w:val="1296961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9E6FBF" w14:textId="56CCC5BE" w:rsidR="00233249" w:rsidRPr="00B25F84" w:rsidRDefault="00233249" w:rsidP="007110A1">
          <w:pPr>
            <w:pStyle w:val="En-ttedetabledesmatires"/>
            <w:spacing w:line="360" w:lineRule="auto"/>
            <w:jc w:val="center"/>
            <w:rPr>
              <w:rFonts w:cs="Times New Roman"/>
            </w:rPr>
          </w:pPr>
          <w:r w:rsidRPr="00B25F84">
            <w:rPr>
              <w:rFonts w:cs="Times New Roman"/>
              <w:lang w:val="fr-FR"/>
            </w:rPr>
            <w:t>Table des matières</w:t>
          </w:r>
        </w:p>
        <w:p w14:paraId="68A906B7" w14:textId="2C89F3EC" w:rsidR="00C95FBB" w:rsidRPr="007110A1" w:rsidRDefault="00233249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r w:rsidRPr="00B25F84">
            <w:rPr>
              <w:rFonts w:ascii="Times New Roman" w:hAnsi="Times New Roman" w:cs="Times New Roman"/>
            </w:rPr>
            <w:fldChar w:fldCharType="begin"/>
          </w:r>
          <w:r w:rsidRPr="00B25F84">
            <w:rPr>
              <w:rFonts w:ascii="Times New Roman" w:hAnsi="Times New Roman" w:cs="Times New Roman"/>
            </w:rPr>
            <w:instrText xml:space="preserve"> TOC \o "1-3" \h \z \u </w:instrText>
          </w:r>
          <w:r w:rsidRPr="00B25F84">
            <w:rPr>
              <w:rFonts w:ascii="Times New Roman" w:hAnsi="Times New Roman" w:cs="Times New Roman"/>
            </w:rPr>
            <w:fldChar w:fldCharType="separate"/>
          </w:r>
          <w:hyperlink w:anchor="_Toc103337204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Résumé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_Toc103337204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38481" w14:textId="44C1EA1E" w:rsidR="00C95FBB" w:rsidRPr="007110A1" w:rsidRDefault="0000000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5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_Toc103337205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F2386" w14:textId="3C24A618" w:rsidR="00C95FBB" w:rsidRPr="007110A1" w:rsidRDefault="0000000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6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Matériel et méthodes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_Toc103337206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2C3A5" w14:textId="6A81C1EA" w:rsidR="00C95FBB" w:rsidRPr="007110A1" w:rsidRDefault="0000000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7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Résultats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_Toc103337207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83D00" w14:textId="190A0F52" w:rsidR="00C95FBB" w:rsidRPr="007110A1" w:rsidRDefault="0000000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8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Discussion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_Toc103337208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58FB58" w14:textId="045E9347" w:rsidR="00C95FBB" w:rsidRPr="007110A1" w:rsidRDefault="0000000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9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_Toc103337209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F50B5" w14:textId="7C6D4F41" w:rsidR="00C95FBB" w:rsidRPr="007110A1" w:rsidRDefault="0000000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10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Bibliographie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_Toc103337210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1ED6B" w14:textId="04B8259F" w:rsidR="00233249" w:rsidRPr="00B25F84" w:rsidRDefault="00233249" w:rsidP="007110A1">
          <w:pPr>
            <w:spacing w:line="360" w:lineRule="auto"/>
            <w:rPr>
              <w:rFonts w:ascii="Times New Roman" w:hAnsi="Times New Roman" w:cs="Times New Roman"/>
            </w:rPr>
          </w:pPr>
          <w:r w:rsidRPr="00B25F84">
            <w:rPr>
              <w:rFonts w:ascii="Times New Roman" w:hAnsi="Times New Roman" w:cs="Times New Roman"/>
              <w:b/>
              <w:bCs/>
              <w:lang w:val="fr-FR"/>
            </w:rPr>
            <w:fldChar w:fldCharType="end"/>
          </w:r>
        </w:p>
      </w:sdtContent>
    </w:sdt>
    <w:p w14:paraId="4BCF19AC" w14:textId="77777777" w:rsidR="00233249" w:rsidRPr="00B25F84" w:rsidRDefault="00233249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5434323D" w14:textId="2F522EE2" w:rsidR="00233249" w:rsidRPr="00B25F84" w:rsidRDefault="00233249" w:rsidP="007110A1">
      <w:pPr>
        <w:pStyle w:val="Titre1"/>
        <w:spacing w:line="360" w:lineRule="auto"/>
        <w:jc w:val="center"/>
        <w:rPr>
          <w:rFonts w:cs="Times New Roman"/>
        </w:rPr>
      </w:pPr>
      <w:bookmarkStart w:id="0" w:name="_Toc103337204"/>
      <w:r w:rsidRPr="00B25F84">
        <w:rPr>
          <w:rFonts w:cs="Times New Roman"/>
        </w:rPr>
        <w:lastRenderedPageBreak/>
        <w:t>Résumé</w:t>
      </w:r>
      <w:bookmarkEnd w:id="0"/>
    </w:p>
    <w:p w14:paraId="7EDD580F" w14:textId="77777777" w:rsidR="00233249" w:rsidRPr="00B25F84" w:rsidRDefault="00233249" w:rsidP="007110A1">
      <w:pPr>
        <w:spacing w:line="360" w:lineRule="auto"/>
        <w:rPr>
          <w:rFonts w:ascii="Times New Roman" w:hAnsi="Times New Roman" w:cs="Times New Roman"/>
        </w:rPr>
      </w:pPr>
    </w:p>
    <w:p w14:paraId="740A57CA" w14:textId="3AC6D29D" w:rsidR="00B92358" w:rsidRPr="00B25F84" w:rsidRDefault="00B92358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½ page</w:t>
      </w:r>
    </w:p>
    <w:p w14:paraId="771E80CF" w14:textId="77777777" w:rsidR="00FD2690" w:rsidRPr="00B25F84" w:rsidRDefault="00FD2690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7CEF668D" w14:textId="3F90345C" w:rsidR="00E2197F" w:rsidRPr="00B25F84" w:rsidRDefault="00FD2690" w:rsidP="007110A1">
      <w:pPr>
        <w:pStyle w:val="Titre1"/>
        <w:spacing w:line="360" w:lineRule="auto"/>
        <w:jc w:val="center"/>
        <w:rPr>
          <w:rFonts w:cs="Times New Roman"/>
        </w:rPr>
      </w:pPr>
      <w:bookmarkStart w:id="1" w:name="_Toc103337205"/>
      <w:r w:rsidRPr="00B25F84">
        <w:rPr>
          <w:rFonts w:cs="Times New Roman"/>
        </w:rPr>
        <w:lastRenderedPageBreak/>
        <w:t>Introduction</w:t>
      </w:r>
      <w:bookmarkEnd w:id="1"/>
    </w:p>
    <w:p w14:paraId="519C632D" w14:textId="197F1332" w:rsidR="00E2197F" w:rsidRDefault="00E2197F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A7BFD">
        <w:rPr>
          <w:rFonts w:ascii="Times New Roman" w:hAnsi="Times New Roman" w:cs="Times New Roman"/>
          <w:i/>
          <w:iCs/>
          <w:sz w:val="24"/>
          <w:szCs w:val="24"/>
        </w:rPr>
        <w:t>présentant la littérature pertinente permettant de comprendre et de supporter les objectifs et hypothèse de la recherche proposée.</w:t>
      </w:r>
    </w:p>
    <w:p w14:paraId="3B102F7E" w14:textId="0D5A97E6" w:rsidR="008812C1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8812C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Intro sur les phages</w:t>
      </w:r>
    </w:p>
    <w:p w14:paraId="295FB1B0" w14:textId="7E6867BC" w:rsidR="008812C1" w:rsidRPr="008812C1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ab/>
        <w:t>Lytique/lysogène</w:t>
      </w:r>
    </w:p>
    <w:p w14:paraId="16900AB1" w14:textId="0660927C" w:rsidR="008812C1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812C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Intro sur métagénomique</w:t>
      </w:r>
    </w:p>
    <w:p w14:paraId="41E043D6" w14:textId="3C44EE17" w:rsidR="009D6350" w:rsidRDefault="009D6350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C18E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Intro sur (co)asssemblage</w:t>
      </w:r>
    </w:p>
    <w:p w14:paraId="3B6EC2F2" w14:textId="3E1AE5A3" w:rsidR="007C18E5" w:rsidRDefault="007C18E5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Contigs</w:t>
      </w:r>
    </w:p>
    <w:p w14:paraId="69444195" w14:textId="7E984505" w:rsidR="007C18E5" w:rsidRDefault="004C35A0" w:rsidP="00E0442A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reads</w:t>
      </w:r>
    </w:p>
    <w:p w14:paraId="1598434D" w14:textId="77777777" w:rsidR="008812C1" w:rsidRPr="00EA7BFD" w:rsidRDefault="008812C1" w:rsidP="00E0442A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C5E147E" w14:textId="5373F766" w:rsidR="00E63350" w:rsidRDefault="00E63350" w:rsidP="00E0442A">
      <w:pPr>
        <w:pStyle w:val="Titre2"/>
        <w:spacing w:line="360" w:lineRule="auto"/>
      </w:pPr>
      <w:r>
        <w:t>Objectifs</w:t>
      </w:r>
    </w:p>
    <w:p w14:paraId="3DBB3444" w14:textId="03E556D0" w:rsidR="005178A5" w:rsidRDefault="00EF0369" w:rsidP="00BF44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L’objectif principal du projet de recherche est de développer un outil bio-informatique permettant d’investiguer efficacement les bactériophages dans des échantillons métagénomiques. L’outil </w:t>
      </w:r>
      <w:r w:rsidR="00C1157E">
        <w:rPr>
          <w:rFonts w:ascii="Times New Roman" w:hAnsi="Times New Roman" w:cs="Times New Roman"/>
          <w:sz w:val="24"/>
          <w:szCs w:val="24"/>
        </w:rPr>
        <w:t>doit</w:t>
      </w:r>
      <w:r>
        <w:rPr>
          <w:rFonts w:ascii="Times New Roman" w:hAnsi="Times New Roman" w:cs="Times New Roman"/>
          <w:sz w:val="24"/>
          <w:szCs w:val="24"/>
        </w:rPr>
        <w:t xml:space="preserve"> être polyvalent et facilement utilisable par des scientifiques ayant peu d’expérience en bio-informatique.</w:t>
      </w:r>
      <w:r w:rsidR="00C1157E">
        <w:rPr>
          <w:rFonts w:ascii="Times New Roman" w:hAnsi="Times New Roman" w:cs="Times New Roman"/>
          <w:sz w:val="24"/>
          <w:szCs w:val="24"/>
        </w:rPr>
        <w:t xml:space="preserve"> Il doit comparer </w:t>
      </w:r>
      <w:r w:rsidR="00753037">
        <w:rPr>
          <w:rFonts w:ascii="Times New Roman" w:hAnsi="Times New Roman" w:cs="Times New Roman"/>
          <w:sz w:val="24"/>
          <w:szCs w:val="24"/>
        </w:rPr>
        <w:t>différents ensembles de jeux de données, tels que le contrôle et le traitement.</w:t>
      </w:r>
      <w:r w:rsidR="00BF446A">
        <w:rPr>
          <w:rFonts w:ascii="Times New Roman" w:hAnsi="Times New Roman" w:cs="Times New Roman"/>
          <w:sz w:val="24"/>
          <w:szCs w:val="24"/>
        </w:rPr>
        <w:t xml:space="preserve"> Les résultats doivent être fiables, utiles, représentés clairement et facilement analysables en R. </w:t>
      </w:r>
      <w:r w:rsidR="00DB57DF">
        <w:rPr>
          <w:rFonts w:ascii="Times New Roman" w:hAnsi="Times New Roman" w:cs="Times New Roman"/>
          <w:sz w:val="24"/>
          <w:szCs w:val="24"/>
        </w:rPr>
        <w:t>Ils doivent être organisés dans un tableau facile à comprendre et à analyser. En plus, l’outil est développé pour la ligne de commande Linux, mais aura éventuellement une interface graphique. Cela permettrait de simplifier encore plus son utilisation.</w:t>
      </w:r>
    </w:p>
    <w:p w14:paraId="104010AE" w14:textId="6CA374A9" w:rsidR="00DB57DF" w:rsidRPr="000D5B2F" w:rsidRDefault="000D5B2F" w:rsidP="00BF446A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D5B2F">
        <w:rPr>
          <w:rFonts w:ascii="Times New Roman" w:hAnsi="Times New Roman" w:cs="Times New Roman"/>
          <w:color w:val="FF0000"/>
          <w:sz w:val="24"/>
          <w:szCs w:val="24"/>
        </w:rPr>
        <w:t>AU</w:t>
      </w:r>
      <w:r>
        <w:rPr>
          <w:rFonts w:ascii="Times New Roman" w:hAnsi="Times New Roman" w:cs="Times New Roman"/>
          <w:color w:val="FF0000"/>
          <w:sz w:val="24"/>
          <w:szCs w:val="24"/>
        </w:rPr>
        <w:t>TRES OBJECTIFS : DÉVELOPPER PIPELINE BIF, AUTOMATISATION COMMANDES, ANALYSE ET MANIPULATION DE DONNÉES MÉTAGÉNOMIQUES</w:t>
      </w:r>
    </w:p>
    <w:p w14:paraId="484633EF" w14:textId="77777777" w:rsidR="00323C91" w:rsidRDefault="00323C91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2" w:name="_Toc103337206"/>
      <w:r>
        <w:rPr>
          <w:rFonts w:cs="Times New Roman"/>
        </w:rPr>
        <w:br w:type="page"/>
      </w:r>
    </w:p>
    <w:p w14:paraId="56482895" w14:textId="5DF62DC1" w:rsidR="005178A5" w:rsidRPr="00B25F84" w:rsidRDefault="005178A5" w:rsidP="007110A1">
      <w:pPr>
        <w:pStyle w:val="Titre1"/>
        <w:spacing w:line="360" w:lineRule="auto"/>
        <w:jc w:val="center"/>
        <w:rPr>
          <w:rFonts w:cs="Times New Roman"/>
        </w:rPr>
      </w:pPr>
      <w:r w:rsidRPr="00B25F84">
        <w:rPr>
          <w:rFonts w:cs="Times New Roman"/>
        </w:rPr>
        <w:lastRenderedPageBreak/>
        <w:t>Matériel et méthodes</w:t>
      </w:r>
      <w:bookmarkEnd w:id="2"/>
    </w:p>
    <w:p w14:paraId="4238185D" w14:textId="05F9B654" w:rsidR="00E2197F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écrite dans le format retrouvé dans les articles scientifiques </w:t>
      </w:r>
    </w:p>
    <w:p w14:paraId="66E66900" w14:textId="77777777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scripts Bash</w:t>
      </w:r>
    </w:p>
    <w:p w14:paraId="3AAF7BEF" w14:textId="77777777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environnement bioconda</w:t>
      </w:r>
    </w:p>
    <w:p w14:paraId="13C21434" w14:textId="313798D1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virsorter2</w:t>
      </w:r>
    </w:p>
    <w:p w14:paraId="3CEE4738" w14:textId="271C0B8A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CheckV</w:t>
      </w:r>
    </w:p>
    <w:p w14:paraId="0A1F2265" w14:textId="77777777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MEGAHIT</w:t>
      </w:r>
    </w:p>
    <w:p w14:paraId="4805AB41" w14:textId="77777777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Bowtie2</w:t>
      </w:r>
    </w:p>
    <w:p w14:paraId="551AF65B" w14:textId="28F09958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Fastq</w:t>
      </w:r>
    </w:p>
    <w:p w14:paraId="114BE362" w14:textId="6CC177B9" w:rsidR="005460E1" w:rsidRPr="00B25F84" w:rsidRDefault="005460E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7FB28279" w14:textId="77777777" w:rsidR="005460E1" w:rsidRPr="00B25F84" w:rsidRDefault="005460E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1FB5C0E3" w14:textId="1CFCF18E" w:rsidR="005460E1" w:rsidRPr="00B25F84" w:rsidRDefault="005460E1" w:rsidP="007110A1">
      <w:pPr>
        <w:pStyle w:val="Titre1"/>
        <w:spacing w:line="360" w:lineRule="auto"/>
        <w:jc w:val="center"/>
        <w:rPr>
          <w:rFonts w:cs="Times New Roman"/>
        </w:rPr>
      </w:pPr>
      <w:bookmarkStart w:id="3" w:name="_Toc103337207"/>
      <w:r w:rsidRPr="00B25F84">
        <w:rPr>
          <w:rFonts w:cs="Times New Roman"/>
        </w:rPr>
        <w:lastRenderedPageBreak/>
        <w:t>Résultats</w:t>
      </w:r>
      <w:bookmarkEnd w:id="3"/>
    </w:p>
    <w:p w14:paraId="300D9701" w14:textId="77777777" w:rsidR="008F72F4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principaux résultats obtenus</w:t>
      </w:r>
    </w:p>
    <w:p w14:paraId="5443C757" w14:textId="759A0062" w:rsidR="00E2197F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comprend habituellement des figures et des tableaux qui peuvent être intégrés au texte ou placés en annexe. </w:t>
      </w:r>
    </w:p>
    <w:p w14:paraId="42E8E782" w14:textId="77777777" w:rsidR="008F72F4" w:rsidRPr="00B25F84" w:rsidRDefault="008F72F4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16EE7CB0" w14:textId="77777777" w:rsidR="008F72F4" w:rsidRPr="00B25F84" w:rsidRDefault="008F72F4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5C0E75A0" w14:textId="18ACC814" w:rsidR="008F72F4" w:rsidRPr="00B25F84" w:rsidRDefault="008F72F4" w:rsidP="007110A1">
      <w:pPr>
        <w:pStyle w:val="Titre1"/>
        <w:spacing w:line="360" w:lineRule="auto"/>
        <w:jc w:val="center"/>
        <w:rPr>
          <w:rFonts w:cs="Times New Roman"/>
        </w:rPr>
      </w:pPr>
      <w:bookmarkStart w:id="4" w:name="_Toc103337208"/>
      <w:r w:rsidRPr="00B25F84">
        <w:rPr>
          <w:rFonts w:cs="Times New Roman"/>
        </w:rPr>
        <w:lastRenderedPageBreak/>
        <w:t>Discussion</w:t>
      </w:r>
      <w:bookmarkEnd w:id="4"/>
    </w:p>
    <w:p w14:paraId="21820A78" w14:textId="77777777" w:rsidR="00F25B45" w:rsidRPr="00B25F84" w:rsidRDefault="00F25B45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discussion commente et critique les résultats de façon à formuler et soutenir les conclusions découlant du projet. </w:t>
      </w:r>
    </w:p>
    <w:p w14:paraId="37846F1F" w14:textId="14D861C8" w:rsidR="008F72F4" w:rsidRPr="00B25F84" w:rsidRDefault="00F25B45" w:rsidP="007110A1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lien en rapport avec les objectifs du projet décrits à la section Introduction. Lorsque cela s'applique, les perspectives du projet peuvent également être présentées. </w:t>
      </w:r>
      <w:r w:rsidR="008F72F4" w:rsidRPr="00B25F84">
        <w:rPr>
          <w:rFonts w:ascii="Times New Roman" w:hAnsi="Times New Roman" w:cs="Times New Roman"/>
        </w:rPr>
        <w:br w:type="page"/>
      </w:r>
    </w:p>
    <w:p w14:paraId="76E05F16" w14:textId="2D07FBA3" w:rsidR="008F72F4" w:rsidRPr="00EA7BFD" w:rsidRDefault="008F72F4" w:rsidP="007110A1">
      <w:pPr>
        <w:pStyle w:val="Titre1"/>
        <w:spacing w:line="360" w:lineRule="auto"/>
        <w:jc w:val="center"/>
        <w:rPr>
          <w:rFonts w:cs="Times New Roman"/>
          <w:lang w:val="en-US"/>
        </w:rPr>
      </w:pPr>
      <w:bookmarkStart w:id="5" w:name="_Toc103337209"/>
      <w:r w:rsidRPr="00EA7BFD">
        <w:rPr>
          <w:rFonts w:cs="Times New Roman"/>
          <w:lang w:val="en-US"/>
        </w:rPr>
        <w:lastRenderedPageBreak/>
        <w:t>Conclusion</w:t>
      </w:r>
      <w:bookmarkEnd w:id="5"/>
    </w:p>
    <w:p w14:paraId="24AB1DAA" w14:textId="77777777" w:rsidR="0077243E" w:rsidRPr="00EA7BFD" w:rsidRDefault="0077243E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7BF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4BB2996" w14:textId="743E4EAE" w:rsidR="0077243E" w:rsidRPr="00EA7BFD" w:rsidRDefault="0077243E" w:rsidP="007110A1">
      <w:pPr>
        <w:pStyle w:val="Titre1"/>
        <w:spacing w:line="360" w:lineRule="auto"/>
        <w:jc w:val="center"/>
        <w:rPr>
          <w:rFonts w:cs="Times New Roman"/>
          <w:lang w:val="en-US"/>
        </w:rPr>
      </w:pPr>
      <w:bookmarkStart w:id="6" w:name="_Toc103337210"/>
      <w:r w:rsidRPr="00EA7BFD">
        <w:rPr>
          <w:rFonts w:cs="Times New Roman"/>
          <w:lang w:val="en-US"/>
        </w:rPr>
        <w:lastRenderedPageBreak/>
        <w:t>Bibliographie</w:t>
      </w:r>
      <w:bookmarkEnd w:id="6"/>
    </w:p>
    <w:p w14:paraId="37C3BD1A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1.</w:t>
      </w:r>
    </w:p>
    <w:p w14:paraId="6B3A5C4B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Hockenberry, A. J. &amp; Wilke, C. O. BACPHLIP: predicting bacteriophage lifestyle from conserved protein domains.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PeerJ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9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e11396 (2021).</w:t>
      </w:r>
    </w:p>
    <w:p w14:paraId="38F39EE2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2.</w:t>
      </w:r>
    </w:p>
    <w:p w14:paraId="752324D5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Shang, J., Jiang, J. &amp; Sun, Y. Bacteriophage classification for assembled contigs using graph convolutional network.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Bioinformatics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37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i25–i33 (2021).</w:t>
      </w:r>
    </w:p>
    <w:p w14:paraId="6048EC53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3.</w:t>
      </w:r>
    </w:p>
    <w:p w14:paraId="689F0A2F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Nayfach, S.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CheckV assesses the quality and completeness of metagenome-assembled viral genomes.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Nat Biotechnol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39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578–585 (2021).</w:t>
      </w:r>
    </w:p>
    <w:p w14:paraId="3856ABB4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4.</w:t>
      </w:r>
    </w:p>
    <w:p w14:paraId="7005F12E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Ruohan, W., Xianglilan, Z., Jianping, W. &amp; Shuai Cheng, L. I. DeepHost: phage host prediction with convolutional neural network.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Briefings in Bioinformatics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23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bbab385 (2022).</w:t>
      </w:r>
    </w:p>
    <w:p w14:paraId="2F0254EB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5.</w:t>
      </w:r>
    </w:p>
    <w:p w14:paraId="078081BC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Dion, M. B., Oechslin, F. &amp; Moineau, S. Phage diversity, genomics and phylogeny.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Nat Rev Microbiol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18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125–138 (2020).</w:t>
      </w:r>
    </w:p>
    <w:p w14:paraId="67FDABE9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6.</w:t>
      </w:r>
    </w:p>
    <w:p w14:paraId="09B906B4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Yukgehnaish, K.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PhageLeads: Rapid Assessment of Phage Therapeutic Suitability Using an Ensemble Machine Learning Approach.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Viruses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14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342 (2022).</w:t>
      </w:r>
    </w:p>
    <w:p w14:paraId="1A42E0F0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7.</w:t>
      </w:r>
    </w:p>
    <w:p w14:paraId="12BC1DD9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Zielezinski, A., Deorowicz, S. &amp; Gudyś, A. PHIST: fast and accurate prediction of prokaryotic hosts from metagenomic viral sequences.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Bioinformatics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38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1447–1449 (2022).</w:t>
      </w:r>
    </w:p>
    <w:p w14:paraId="55D1CC52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8.</w:t>
      </w:r>
    </w:p>
    <w:p w14:paraId="6C98525C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Boeckaerts, D.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Predicting bacteriophage hosts based on sequences of annotated receptor-binding proteins.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Sci Rep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11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1467 (2021).</w:t>
      </w:r>
    </w:p>
    <w:p w14:paraId="2A9C74D5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9.</w:t>
      </w:r>
    </w:p>
    <w:p w14:paraId="4F3AC7F3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Buchfink, B., Reuter, K. &amp; Drost, H.-G. Sensitive protein alignments at tree-of-life scale using DIAMOND.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Nat Methods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18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366–368 (2021).</w:t>
      </w:r>
    </w:p>
    <w:p w14:paraId="1D159470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10.</w:t>
      </w:r>
    </w:p>
    <w:p w14:paraId="5FEC5A63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lastRenderedPageBreak/>
        <w:t xml:space="preserve">Puente-Sánchez, F., García-García, N. &amp; Tamames, J. SQMtools: automated processing and visual analysis of ’omics data with R and anvi’o.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BMC Bioinformatics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21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358 (2020).</w:t>
      </w:r>
    </w:p>
    <w:p w14:paraId="09546FAB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11.</w:t>
      </w:r>
    </w:p>
    <w:p w14:paraId="074CB596" w14:textId="77777777" w:rsidR="006A58DF" w:rsidRPr="00EF0369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Tamames, J. &amp; Puente-Sánchez, F. SqueezeMeta, A Highly Portable, Fully Automatic Metagenomic Analysis Pipeline. </w:t>
      </w:r>
      <w:r w:rsidRPr="00EF036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Front. Microbiol.</w:t>
      </w:r>
      <w:r w:rsidRPr="00EF036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EF03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9</w:t>
      </w:r>
      <w:r w:rsidRPr="00EF036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3349 (2019).</w:t>
      </w:r>
    </w:p>
    <w:p w14:paraId="24DEF364" w14:textId="77777777" w:rsidR="006A58DF" w:rsidRPr="00EF0369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EF036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12.</w:t>
      </w:r>
    </w:p>
    <w:p w14:paraId="182C0A23" w14:textId="77777777" w:rsidR="006A58DF" w:rsidRPr="00EF0369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Kieft, K., Zhou, Z. &amp; Anantharaman, K. VIBRANT: automated recovery, annotation and curation of microbial viruses, and evaluation of viral community function from genomic sequences. </w:t>
      </w:r>
      <w:r w:rsidRPr="00EF036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Microbiome</w:t>
      </w:r>
      <w:r w:rsidRPr="00EF036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EF03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8</w:t>
      </w:r>
      <w:r w:rsidRPr="00EF036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90 (2020).</w:t>
      </w:r>
    </w:p>
    <w:p w14:paraId="6C8DAD24" w14:textId="77777777" w:rsidR="006A58DF" w:rsidRPr="00EF0369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EF036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13.</w:t>
      </w:r>
    </w:p>
    <w:p w14:paraId="3C0DE0D4" w14:textId="12FCF651" w:rsidR="009957E1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Guo, J.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VirSorter2: a multi-classifier, expert-guided approach to detect diverse DNA and RNA viruses.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>Microbiome</w:t>
      </w:r>
      <w:r w:rsidRPr="006A58D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9</w:t>
      </w:r>
      <w:r w:rsidRPr="006A58DF">
        <w:rPr>
          <w:rFonts w:ascii="Times New Roman" w:eastAsia="Times New Roman" w:hAnsi="Times New Roman" w:cs="Times New Roman"/>
          <w:sz w:val="24"/>
          <w:szCs w:val="24"/>
          <w:lang w:eastAsia="fr-CA"/>
        </w:rPr>
        <w:t>, 37 (2021).</w:t>
      </w:r>
    </w:p>
    <w:sectPr w:rsidR="009957E1" w:rsidRPr="006A58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2AFB"/>
    <w:multiLevelType w:val="hybridMultilevel"/>
    <w:tmpl w:val="864C7D14"/>
    <w:lvl w:ilvl="0" w:tplc="E41A7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25747"/>
    <w:multiLevelType w:val="hybridMultilevel"/>
    <w:tmpl w:val="24C60168"/>
    <w:lvl w:ilvl="0" w:tplc="41CC8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240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9E5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987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305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02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62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860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5E8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17551751">
    <w:abstractNumId w:val="0"/>
  </w:num>
  <w:num w:numId="2" w16cid:durableId="437993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B5"/>
    <w:rsid w:val="000D5B2F"/>
    <w:rsid w:val="001028B5"/>
    <w:rsid w:val="0016072F"/>
    <w:rsid w:val="00233249"/>
    <w:rsid w:val="00323C91"/>
    <w:rsid w:val="00427858"/>
    <w:rsid w:val="004456BC"/>
    <w:rsid w:val="004C35A0"/>
    <w:rsid w:val="004F450F"/>
    <w:rsid w:val="005178A5"/>
    <w:rsid w:val="005460E1"/>
    <w:rsid w:val="00553CAD"/>
    <w:rsid w:val="00662881"/>
    <w:rsid w:val="006A58DF"/>
    <w:rsid w:val="006C6933"/>
    <w:rsid w:val="007110A1"/>
    <w:rsid w:val="00753037"/>
    <w:rsid w:val="0077243E"/>
    <w:rsid w:val="007C18E5"/>
    <w:rsid w:val="008670BA"/>
    <w:rsid w:val="00874EF9"/>
    <w:rsid w:val="008812C1"/>
    <w:rsid w:val="008E6684"/>
    <w:rsid w:val="008F72F4"/>
    <w:rsid w:val="00933C19"/>
    <w:rsid w:val="009957E1"/>
    <w:rsid w:val="009A1968"/>
    <w:rsid w:val="009D6350"/>
    <w:rsid w:val="00A4562A"/>
    <w:rsid w:val="00AB4C53"/>
    <w:rsid w:val="00B25F84"/>
    <w:rsid w:val="00B92358"/>
    <w:rsid w:val="00BF446A"/>
    <w:rsid w:val="00C1157E"/>
    <w:rsid w:val="00C93840"/>
    <w:rsid w:val="00C93F59"/>
    <w:rsid w:val="00C95FBB"/>
    <w:rsid w:val="00DB57DF"/>
    <w:rsid w:val="00E0442A"/>
    <w:rsid w:val="00E20C01"/>
    <w:rsid w:val="00E2197F"/>
    <w:rsid w:val="00E63350"/>
    <w:rsid w:val="00EA44F1"/>
    <w:rsid w:val="00EA5F9E"/>
    <w:rsid w:val="00EA7BFD"/>
    <w:rsid w:val="00EF0369"/>
    <w:rsid w:val="00F25B45"/>
    <w:rsid w:val="00FB4715"/>
    <w:rsid w:val="00F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B3C8"/>
  <w15:chartTrackingRefBased/>
  <w15:docId w15:val="{137335BE-2EC3-49BA-A1C5-B453848C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95FB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5FB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07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0C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0C0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2332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332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332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332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33249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C95FBB"/>
    <w:rPr>
      <w:rFonts w:ascii="Times New Roman" w:eastAsiaTheme="majorEastAsia" w:hAnsi="Times New Roman" w:cstheme="majorBidi"/>
      <w:b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3249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92358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C95FBB"/>
    <w:rPr>
      <w:rFonts w:ascii="Times New Roman" w:eastAsiaTheme="majorEastAsia" w:hAnsi="Times New Roman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164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88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269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22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56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26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89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22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96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497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324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2866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788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14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160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916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449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326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05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249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65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00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739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803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75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94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75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842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002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37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4089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53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03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16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9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tony.vincent@fsaa.ulaval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A8E6-68C1-406F-80F9-B6B5D00A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Éléonore Lemieux</dc:creator>
  <cp:keywords/>
  <dc:description/>
  <cp:lastModifiedBy>Éléonore Lemieux</cp:lastModifiedBy>
  <cp:revision>35</cp:revision>
  <dcterms:created xsi:type="dcterms:W3CDTF">2022-05-13T15:35:00Z</dcterms:created>
  <dcterms:modified xsi:type="dcterms:W3CDTF">2022-07-14T18:31:00Z</dcterms:modified>
</cp:coreProperties>
</file>