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ED74D">
      <w:pPr>
        <w:pStyle w:val="2"/>
        <w:spacing w:after="2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基因组调查与组装分析实验报告</w:t>
      </w:r>
    </w:p>
    <w:p w14:paraId="1B1052CB">
      <w:pPr>
        <w:pStyle w:val="3"/>
        <w:numPr>
          <w:ilvl w:val="0"/>
          <w:numId w:val="1"/>
        </w:numPr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执行摘要</w:t>
      </w:r>
    </w:p>
    <w:p w14:paraId="0515982C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本实验基于拟南芥4号染色体的Illumina PE150测序数据，系统评估了不同kmer参数对基因组特征估算和组装质量的影响。实验采用完整的生物信息学分析流程，从数据质控到最终组装评估，获得了可靠的基因组特征数据和组装结果。</w:t>
      </w:r>
    </w:p>
    <w:p w14:paraId="76901F0F">
      <w:pPr>
        <w:pStyle w:val="3"/>
        <w:numPr>
          <w:ilvl w:val="0"/>
          <w:numId w:val="2"/>
        </w:numPr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实验流程概览</w:t>
      </w:r>
    </w:p>
    <w:p w14:paraId="2CA12A25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2.1 </w:t>
      </w:r>
      <w:r>
        <w:rPr>
          <w:rFonts w:hint="eastAsia" w:ascii="微软雅黑" w:hAnsi="微软雅黑" w:eastAsia="微软雅黑" w:cs="微软雅黑"/>
        </w:rPr>
        <w:t>分析流程架构</w:t>
      </w:r>
    </w:p>
    <w:tbl>
      <w:tblPr>
        <w:tblStyle w:val="11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103"/>
        <w:gridCol w:w="440"/>
        <w:gridCol w:w="1623"/>
        <w:gridCol w:w="445"/>
        <w:gridCol w:w="1251"/>
        <w:gridCol w:w="445"/>
        <w:gridCol w:w="1764"/>
        <w:gridCol w:w="445"/>
        <w:gridCol w:w="1614"/>
        <w:gridCol w:w="445"/>
        <w:gridCol w:w="1103"/>
      </w:tblGrid>
      <w:tr w14:paraId="183BA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844" w:hRule="atLeast"/>
        </w:trPr>
        <w:tc>
          <w:tcPr>
            <w:tcW w:w="516" w:type="pct"/>
            <w:tcBorders>
              <w:tl2br w:val="nil"/>
              <w:tr2bl w:val="nil"/>
            </w:tcBorders>
            <w:vAlign w:val="center"/>
          </w:tcPr>
          <w:p w14:paraId="299D2A3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  <w:u w:val="single"/>
              </w:rPr>
              <w:t>原始数据</w:t>
            </w:r>
          </w:p>
        </w:tc>
        <w:tc>
          <w:tcPr>
            <w:tcW w:w="206" w:type="pct"/>
            <w:tcBorders>
              <w:tl2br w:val="nil"/>
              <w:tr2bl w:val="nil"/>
            </w:tcBorders>
            <w:vAlign w:val="center"/>
          </w:tcPr>
          <w:p w14:paraId="6B860C9B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FF"/>
                <w:sz w:val="22"/>
                <w:szCs w:val="22"/>
              </w:rPr>
              <w:t>→</w:t>
            </w:r>
          </w:p>
        </w:tc>
        <w:tc>
          <w:tcPr>
            <w:tcW w:w="759" w:type="pct"/>
            <w:tcBorders>
              <w:tl2br w:val="nil"/>
              <w:tr2bl w:val="nil"/>
            </w:tcBorders>
            <w:vAlign w:val="center"/>
          </w:tcPr>
          <w:p w14:paraId="52131C9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  <w:u w:val="single"/>
              </w:rPr>
              <w:t>质控处理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7CE740E4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FF"/>
                <w:sz w:val="22"/>
                <w:szCs w:val="22"/>
              </w:rPr>
              <w:t>→</w:t>
            </w:r>
          </w:p>
        </w:tc>
        <w:tc>
          <w:tcPr>
            <w:tcW w:w="585" w:type="pct"/>
            <w:tcBorders>
              <w:tl2br w:val="nil"/>
              <w:tr2bl w:val="nil"/>
            </w:tcBorders>
            <w:vAlign w:val="center"/>
          </w:tcPr>
          <w:p w14:paraId="4731887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  <w:u w:val="single"/>
              </w:rPr>
              <w:t>kmer分析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3777875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FF"/>
                <w:sz w:val="22"/>
                <w:szCs w:val="22"/>
              </w:rPr>
              <w:t>→</w:t>
            </w:r>
          </w:p>
        </w:tc>
        <w:tc>
          <w:tcPr>
            <w:tcW w:w="825" w:type="pct"/>
            <w:tcBorders>
              <w:tl2br w:val="nil"/>
              <w:tr2bl w:val="nil"/>
            </w:tcBorders>
            <w:vAlign w:val="center"/>
          </w:tcPr>
          <w:p w14:paraId="21A7E802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  <w:u w:val="single"/>
              </w:rPr>
              <w:t>基因组特征评估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1F86A38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FF"/>
                <w:sz w:val="22"/>
                <w:szCs w:val="22"/>
              </w:rPr>
              <w:t>→</w:t>
            </w: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59368E2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  <w:u w:val="single"/>
              </w:rPr>
              <w:t>基因组组装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5CFEBF6F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0000FF"/>
                <w:sz w:val="22"/>
                <w:szCs w:val="22"/>
              </w:rPr>
              <w:t>→</w:t>
            </w:r>
          </w:p>
        </w:tc>
        <w:tc>
          <w:tcPr>
            <w:tcW w:w="516" w:type="pct"/>
            <w:tcBorders>
              <w:tl2br w:val="nil"/>
              <w:tr2bl w:val="nil"/>
            </w:tcBorders>
            <w:vAlign w:val="center"/>
          </w:tcPr>
          <w:p w14:paraId="0FB4F2D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  <w:u w:val="single"/>
              </w:rPr>
              <w:t>质量评估</w:t>
            </w:r>
          </w:p>
        </w:tc>
      </w:tr>
      <w:tr w14:paraId="608A9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468" w:hRule="atLeast"/>
        </w:trPr>
        <w:tc>
          <w:tcPr>
            <w:tcW w:w="516" w:type="pct"/>
            <w:tcBorders>
              <w:tl2br w:val="nil"/>
              <w:tr2bl w:val="nil"/>
            </w:tcBorders>
            <w:vAlign w:val="center"/>
          </w:tcPr>
          <w:p w14:paraId="38269AF4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↓</w:t>
            </w:r>
          </w:p>
        </w:tc>
        <w:tc>
          <w:tcPr>
            <w:tcW w:w="206" w:type="pct"/>
            <w:tcBorders>
              <w:tl2br w:val="nil"/>
              <w:tr2bl w:val="nil"/>
            </w:tcBorders>
            <w:vAlign w:val="center"/>
          </w:tcPr>
          <w:p w14:paraId="61CBE521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</w:p>
        </w:tc>
        <w:tc>
          <w:tcPr>
            <w:tcW w:w="759" w:type="pct"/>
            <w:tcBorders>
              <w:tl2br w:val="nil"/>
              <w:tr2bl w:val="nil"/>
            </w:tcBorders>
            <w:vAlign w:val="center"/>
          </w:tcPr>
          <w:p w14:paraId="012E6192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↓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12B5F0F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</w:p>
        </w:tc>
        <w:tc>
          <w:tcPr>
            <w:tcW w:w="585" w:type="pct"/>
            <w:tcBorders>
              <w:tl2br w:val="nil"/>
              <w:tr2bl w:val="nil"/>
            </w:tcBorders>
            <w:vAlign w:val="center"/>
          </w:tcPr>
          <w:p w14:paraId="71D46C2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↓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54E672A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</w:p>
        </w:tc>
        <w:tc>
          <w:tcPr>
            <w:tcW w:w="825" w:type="pct"/>
            <w:tcBorders>
              <w:tl2br w:val="nil"/>
              <w:tr2bl w:val="nil"/>
            </w:tcBorders>
            <w:vAlign w:val="center"/>
          </w:tcPr>
          <w:p w14:paraId="3CA8FA4B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↓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64DEF7E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780CEE4E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↓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596D7A19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</w:p>
        </w:tc>
        <w:tc>
          <w:tcPr>
            <w:tcW w:w="516" w:type="pct"/>
            <w:tcBorders>
              <w:tl2br w:val="nil"/>
              <w:tr2bl w:val="nil"/>
            </w:tcBorders>
            <w:vAlign w:val="center"/>
          </w:tcPr>
          <w:p w14:paraId="647E914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↓</w:t>
            </w:r>
          </w:p>
        </w:tc>
      </w:tr>
      <w:tr w14:paraId="45C94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468" w:hRule="atLeast"/>
        </w:trPr>
        <w:tc>
          <w:tcPr>
            <w:tcW w:w="516" w:type="pct"/>
            <w:tcBorders>
              <w:tl2br w:val="nil"/>
              <w:tr2bl w:val="nil"/>
            </w:tcBorders>
            <w:vAlign w:val="center"/>
          </w:tcPr>
          <w:p w14:paraId="430E3C47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FastQC</w:t>
            </w:r>
          </w:p>
        </w:tc>
        <w:tc>
          <w:tcPr>
            <w:tcW w:w="206" w:type="pct"/>
            <w:tcBorders>
              <w:tl2br w:val="nil"/>
              <w:tr2bl w:val="nil"/>
            </w:tcBorders>
            <w:vAlign w:val="center"/>
          </w:tcPr>
          <w:p w14:paraId="6EDAC33A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</w:p>
        </w:tc>
        <w:tc>
          <w:tcPr>
            <w:tcW w:w="759" w:type="pct"/>
            <w:tcBorders>
              <w:tl2br w:val="nil"/>
              <w:tr2bl w:val="nil"/>
            </w:tcBorders>
            <w:vAlign w:val="center"/>
          </w:tcPr>
          <w:p w14:paraId="5154434B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Trimmomatic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1A5741C2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</w:p>
        </w:tc>
        <w:tc>
          <w:tcPr>
            <w:tcW w:w="585" w:type="pct"/>
            <w:tcBorders>
              <w:tl2br w:val="nil"/>
              <w:tr2bl w:val="nil"/>
            </w:tcBorders>
            <w:vAlign w:val="center"/>
          </w:tcPr>
          <w:p w14:paraId="407D2F7D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Jellyfish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7A935DB3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</w:p>
        </w:tc>
        <w:tc>
          <w:tcPr>
            <w:tcW w:w="825" w:type="pct"/>
            <w:tcBorders>
              <w:tl2br w:val="nil"/>
              <w:tr2bl w:val="nil"/>
            </w:tcBorders>
            <w:vAlign w:val="center"/>
          </w:tcPr>
          <w:p w14:paraId="709F268A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GenomeScope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186BD9DF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</w:p>
        </w:tc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5DD0ADC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SOAPdenovo</w:t>
            </w:r>
          </w:p>
        </w:tc>
        <w:tc>
          <w:tcPr>
            <w:tcW w:w="208" w:type="pct"/>
            <w:tcBorders>
              <w:tl2br w:val="nil"/>
              <w:tr2bl w:val="nil"/>
            </w:tcBorders>
            <w:vAlign w:val="center"/>
          </w:tcPr>
          <w:p w14:paraId="01658AB4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</w:p>
        </w:tc>
        <w:tc>
          <w:tcPr>
            <w:tcW w:w="516" w:type="pct"/>
            <w:tcBorders>
              <w:tl2br w:val="nil"/>
              <w:tr2bl w:val="nil"/>
            </w:tcBorders>
            <w:vAlign w:val="center"/>
          </w:tcPr>
          <w:p w14:paraId="197ADE5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sz w:val="22"/>
                <w:szCs w:val="22"/>
              </w:rPr>
              <w:t>QUAST</w:t>
            </w:r>
          </w:p>
        </w:tc>
      </w:tr>
    </w:tbl>
    <w:p w14:paraId="0DA7A273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2.2 </w:t>
      </w:r>
      <w:r>
        <w:rPr>
          <w:rFonts w:hint="eastAsia" w:ascii="微软雅黑" w:hAnsi="微软雅黑" w:eastAsia="微软雅黑" w:cs="微软雅黑"/>
        </w:rPr>
        <w:t>关键参数设置</w:t>
      </w:r>
    </w:p>
    <w:tbl>
      <w:tblPr>
        <w:tblStyle w:val="10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11"/>
        <w:gridCol w:w="2968"/>
        <w:gridCol w:w="2411"/>
        <w:gridCol w:w="2914"/>
      </w:tblGrid>
      <w:tr w14:paraId="64BF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126" w:type="pct"/>
          </w:tcPr>
          <w:p w14:paraId="27577725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分析阶段</w:t>
            </w:r>
          </w:p>
        </w:tc>
        <w:tc>
          <w:tcPr>
            <w:tcW w:w="1386" w:type="pct"/>
          </w:tcPr>
          <w:p w14:paraId="5E676A0F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工具</w:t>
            </w:r>
          </w:p>
        </w:tc>
        <w:tc>
          <w:tcPr>
            <w:tcW w:w="1126" w:type="pct"/>
          </w:tcPr>
          <w:p w14:paraId="440C673E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关键参数</w:t>
            </w:r>
          </w:p>
        </w:tc>
        <w:tc>
          <w:tcPr>
            <w:tcW w:w="1361" w:type="pct"/>
          </w:tcPr>
          <w:p w14:paraId="2522937E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数值设置</w:t>
            </w:r>
          </w:p>
        </w:tc>
      </w:tr>
      <w:tr w14:paraId="769FE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26" w:type="pct"/>
          </w:tcPr>
          <w:p w14:paraId="52BA6E98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数据质控</w:t>
            </w:r>
          </w:p>
        </w:tc>
        <w:tc>
          <w:tcPr>
            <w:tcW w:w="1386" w:type="pct"/>
          </w:tcPr>
          <w:p w14:paraId="5F0B2C3A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Trimmomatic</w:t>
            </w:r>
          </w:p>
        </w:tc>
        <w:tc>
          <w:tcPr>
            <w:tcW w:w="1126" w:type="pct"/>
          </w:tcPr>
          <w:p w14:paraId="6860BC45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质量阈值</w:t>
            </w:r>
          </w:p>
        </w:tc>
        <w:tc>
          <w:tcPr>
            <w:tcW w:w="1361" w:type="pct"/>
          </w:tcPr>
          <w:p w14:paraId="4F630B8E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Q20</w:t>
            </w:r>
          </w:p>
        </w:tc>
      </w:tr>
      <w:tr w14:paraId="1E75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26" w:type="pct"/>
          </w:tcPr>
          <w:p w14:paraId="6FAE9246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kmer分析</w:t>
            </w:r>
          </w:p>
        </w:tc>
        <w:tc>
          <w:tcPr>
            <w:tcW w:w="1386" w:type="pct"/>
          </w:tcPr>
          <w:p w14:paraId="33527AA3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Jellyfish</w:t>
            </w:r>
          </w:p>
        </w:tc>
        <w:tc>
          <w:tcPr>
            <w:tcW w:w="1126" w:type="pct"/>
          </w:tcPr>
          <w:p w14:paraId="7BDD498A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kmer大小</w:t>
            </w:r>
          </w:p>
        </w:tc>
        <w:tc>
          <w:tcPr>
            <w:tcW w:w="1361" w:type="pct"/>
          </w:tcPr>
          <w:p w14:paraId="4BC64828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19,21,31</w:t>
            </w:r>
          </w:p>
        </w:tc>
      </w:tr>
      <w:tr w14:paraId="349D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26" w:type="pct"/>
          </w:tcPr>
          <w:p w14:paraId="4636BEEF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特征评估</w:t>
            </w:r>
          </w:p>
        </w:tc>
        <w:tc>
          <w:tcPr>
            <w:tcW w:w="1386" w:type="pct"/>
          </w:tcPr>
          <w:p w14:paraId="4D6A138E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GenomeScope2</w:t>
            </w:r>
          </w:p>
        </w:tc>
        <w:tc>
          <w:tcPr>
            <w:tcW w:w="1126" w:type="pct"/>
          </w:tcPr>
          <w:p w14:paraId="4D2C2329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读长设置</w:t>
            </w:r>
          </w:p>
        </w:tc>
        <w:tc>
          <w:tcPr>
            <w:tcW w:w="1361" w:type="pct"/>
          </w:tcPr>
          <w:p w14:paraId="21887E7E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150bp</w:t>
            </w:r>
          </w:p>
        </w:tc>
      </w:tr>
      <w:tr w14:paraId="072A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26" w:type="pct"/>
          </w:tcPr>
          <w:p w14:paraId="1CABD94A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基因组组装</w:t>
            </w:r>
          </w:p>
        </w:tc>
        <w:tc>
          <w:tcPr>
            <w:tcW w:w="1386" w:type="pct"/>
          </w:tcPr>
          <w:p w14:paraId="0139E4AE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SOAPdenovo2</w:t>
            </w:r>
          </w:p>
        </w:tc>
        <w:tc>
          <w:tcPr>
            <w:tcW w:w="1126" w:type="pct"/>
          </w:tcPr>
          <w:p w14:paraId="71607604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kmer范围</w:t>
            </w:r>
          </w:p>
        </w:tc>
        <w:tc>
          <w:tcPr>
            <w:tcW w:w="1361" w:type="pct"/>
          </w:tcPr>
          <w:p w14:paraId="43EF2091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19,21,31</w:t>
            </w:r>
          </w:p>
        </w:tc>
      </w:tr>
      <w:tr w14:paraId="6D6B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26" w:type="pct"/>
          </w:tcPr>
          <w:p w14:paraId="75B9521B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质量评估</w:t>
            </w:r>
          </w:p>
        </w:tc>
        <w:tc>
          <w:tcPr>
            <w:tcW w:w="1386" w:type="pct"/>
          </w:tcPr>
          <w:p w14:paraId="10D39FD4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QUAST</w:t>
            </w:r>
          </w:p>
        </w:tc>
        <w:tc>
          <w:tcPr>
            <w:tcW w:w="1126" w:type="pct"/>
          </w:tcPr>
          <w:p w14:paraId="3EFC6D80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参考基因组</w:t>
            </w:r>
          </w:p>
        </w:tc>
        <w:tc>
          <w:tcPr>
            <w:tcW w:w="1361" w:type="pct"/>
          </w:tcPr>
          <w:p w14:paraId="55EF5EBD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2"/>
                <w:szCs w:val="24"/>
              </w:rPr>
              <w:t>TAIR.chrom4.fa</w:t>
            </w:r>
          </w:p>
        </w:tc>
      </w:tr>
    </w:tbl>
    <w:p w14:paraId="7BDE6838">
      <w:pPr>
        <w:pStyle w:val="3"/>
        <w:numPr>
          <w:ilvl w:val="0"/>
          <w:numId w:val="2"/>
        </w:numPr>
        <w:spacing w:after="200"/>
        <w:ind w:left="0" w:leftChars="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实验结果</w:t>
      </w:r>
    </w:p>
    <w:p w14:paraId="631C6460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3.1 </w:t>
      </w:r>
      <w:r>
        <w:rPr>
          <w:rFonts w:hint="eastAsia" w:ascii="微软雅黑" w:hAnsi="微软雅黑" w:eastAsia="微软雅黑" w:cs="微软雅黑"/>
        </w:rPr>
        <w:t>基因组特征评估</w:t>
      </w:r>
    </w:p>
    <w:p w14:paraId="11D71AAC">
      <w:pPr>
        <w:pStyle w:val="5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表1：多kmer基因组特征估算对比</w:t>
      </w:r>
    </w:p>
    <w:tbl>
      <w:tblPr>
        <w:tblStyle w:val="10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99"/>
        <w:gridCol w:w="1331"/>
        <w:gridCol w:w="1331"/>
        <w:gridCol w:w="1331"/>
        <w:gridCol w:w="3612"/>
      </w:tblGrid>
      <w:tr w14:paraId="5378D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447" w:type="pct"/>
          </w:tcPr>
          <w:p w14:paraId="44D85B2D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分析参数</w:t>
            </w:r>
          </w:p>
        </w:tc>
        <w:tc>
          <w:tcPr>
            <w:tcW w:w="621" w:type="pct"/>
          </w:tcPr>
          <w:p w14:paraId="7F6991CC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k=19</w:t>
            </w:r>
          </w:p>
        </w:tc>
        <w:tc>
          <w:tcPr>
            <w:tcW w:w="621" w:type="pct"/>
          </w:tcPr>
          <w:p w14:paraId="247D4159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k=21</w:t>
            </w:r>
          </w:p>
        </w:tc>
        <w:tc>
          <w:tcPr>
            <w:tcW w:w="621" w:type="pct"/>
          </w:tcPr>
          <w:p w14:paraId="30EF4E6F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k=31</w:t>
            </w:r>
          </w:p>
        </w:tc>
        <w:tc>
          <w:tcPr>
            <w:tcW w:w="1686" w:type="pct"/>
          </w:tcPr>
          <w:p w14:paraId="042BE80A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生物学意义</w:t>
            </w:r>
          </w:p>
        </w:tc>
      </w:tr>
      <w:tr w14:paraId="3E789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7" w:type="pct"/>
          </w:tcPr>
          <w:p w14:paraId="730A2264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基因组大小(Mb)</w:t>
            </w:r>
          </w:p>
        </w:tc>
        <w:tc>
          <w:tcPr>
            <w:tcW w:w="621" w:type="pct"/>
          </w:tcPr>
          <w:p w14:paraId="4D034D01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34.24</w:t>
            </w:r>
          </w:p>
        </w:tc>
        <w:tc>
          <w:tcPr>
            <w:tcW w:w="621" w:type="pct"/>
          </w:tcPr>
          <w:p w14:paraId="43B4242F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34.55</w:t>
            </w:r>
          </w:p>
        </w:tc>
        <w:tc>
          <w:tcPr>
            <w:tcW w:w="621" w:type="pct"/>
          </w:tcPr>
          <w:p w14:paraId="38531240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35.36</w:t>
            </w:r>
          </w:p>
        </w:tc>
        <w:tc>
          <w:tcPr>
            <w:tcW w:w="1686" w:type="pct"/>
          </w:tcPr>
          <w:p w14:paraId="5EB1F726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反映基因组实际规模</w:t>
            </w:r>
          </w:p>
        </w:tc>
      </w:tr>
      <w:tr w14:paraId="27B4F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7" w:type="pct"/>
          </w:tcPr>
          <w:p w14:paraId="3D17666F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杂合度(%)</w:t>
            </w:r>
          </w:p>
        </w:tc>
        <w:tc>
          <w:tcPr>
            <w:tcW w:w="621" w:type="pct"/>
          </w:tcPr>
          <w:p w14:paraId="5216DDC8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0.018</w:t>
            </w:r>
          </w:p>
        </w:tc>
        <w:tc>
          <w:tcPr>
            <w:tcW w:w="621" w:type="pct"/>
          </w:tcPr>
          <w:p w14:paraId="6DA42962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0.008</w:t>
            </w:r>
          </w:p>
        </w:tc>
        <w:tc>
          <w:tcPr>
            <w:tcW w:w="621" w:type="pct"/>
          </w:tcPr>
          <w:p w14:paraId="04175B91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0.009</w:t>
            </w:r>
          </w:p>
        </w:tc>
        <w:tc>
          <w:tcPr>
            <w:tcW w:w="1686" w:type="pct"/>
          </w:tcPr>
          <w:p w14:paraId="2937821F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表明高度纯合特性</w:t>
            </w:r>
          </w:p>
        </w:tc>
      </w:tr>
      <w:tr w14:paraId="2EA7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7" w:type="pct"/>
          </w:tcPr>
          <w:p w14:paraId="78CF9135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重复序列比例(%)</w:t>
            </w:r>
          </w:p>
        </w:tc>
        <w:tc>
          <w:tcPr>
            <w:tcW w:w="621" w:type="pct"/>
          </w:tcPr>
          <w:p w14:paraId="55E109AA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2.52</w:t>
            </w:r>
          </w:p>
        </w:tc>
        <w:tc>
          <w:tcPr>
            <w:tcW w:w="621" w:type="pct"/>
          </w:tcPr>
          <w:p w14:paraId="37190E51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2.23</w:t>
            </w:r>
          </w:p>
        </w:tc>
        <w:tc>
          <w:tcPr>
            <w:tcW w:w="621" w:type="pct"/>
          </w:tcPr>
          <w:p w14:paraId="5F8A1878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1.62</w:t>
            </w:r>
          </w:p>
        </w:tc>
        <w:tc>
          <w:tcPr>
            <w:tcW w:w="1686" w:type="pct"/>
          </w:tcPr>
          <w:p w14:paraId="2294A6E2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随kmer增大而降低</w:t>
            </w:r>
          </w:p>
        </w:tc>
      </w:tr>
      <w:tr w14:paraId="57D3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7" w:type="pct"/>
          </w:tcPr>
          <w:p w14:paraId="6F2ABFD2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测序深度(x)</w:t>
            </w:r>
          </w:p>
        </w:tc>
        <w:tc>
          <w:tcPr>
            <w:tcW w:w="621" w:type="pct"/>
          </w:tcPr>
          <w:p w14:paraId="76DF1719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6.35</w:t>
            </w:r>
          </w:p>
        </w:tc>
        <w:tc>
          <w:tcPr>
            <w:tcW w:w="621" w:type="pct"/>
          </w:tcPr>
          <w:p w14:paraId="6BF8F3A0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6.23</w:t>
            </w:r>
          </w:p>
        </w:tc>
        <w:tc>
          <w:tcPr>
            <w:tcW w:w="621" w:type="pct"/>
          </w:tcPr>
          <w:p w14:paraId="31AC6476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5.62</w:t>
            </w:r>
          </w:p>
        </w:tc>
        <w:tc>
          <w:tcPr>
            <w:tcW w:w="1686" w:type="pct"/>
          </w:tcPr>
          <w:p w14:paraId="15F8C820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满足分析要求</w:t>
            </w:r>
          </w:p>
        </w:tc>
      </w:tr>
    </w:tbl>
    <w:p w14:paraId="46E30A34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核心发现</w:t>
      </w:r>
      <w:r>
        <w:rPr>
          <w:rFonts w:hint="eastAsia" w:ascii="微软雅黑" w:hAnsi="微软雅黑" w:eastAsia="微软雅黑" w:cs="微软雅黑"/>
        </w:rPr>
        <w:t>：</w:t>
      </w:r>
    </w:p>
    <w:p w14:paraId="14E78D65">
      <w:pPr>
        <w:pStyle w:val="15"/>
        <w:numPr>
          <w:ilvl w:val="0"/>
          <w:numId w:val="3"/>
        </w:num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拟南芥表现出典型的低杂合度特征(&lt;0.02%)</w:t>
      </w:r>
    </w:p>
    <w:p w14:paraId="203B9C4E">
      <w:pPr>
        <w:pStyle w:val="15"/>
        <w:numPr>
          <w:ilvl w:val="0"/>
          <w:numId w:val="3"/>
        </w:num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kmer增大导致重复序列估算值降低</w:t>
      </w:r>
    </w:p>
    <w:p w14:paraId="1830990C">
      <w:pPr>
        <w:pStyle w:val="15"/>
        <w:numPr>
          <w:ilvl w:val="0"/>
          <w:numId w:val="3"/>
        </w:num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基因组大小估算相对稳定(34-35Mb)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3"/>
        <w:gridCol w:w="3553"/>
        <w:gridCol w:w="3576"/>
      </w:tblGrid>
      <w:tr w14:paraId="08CAB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vAlign w:val="top"/>
          </w:tcPr>
          <w:p w14:paraId="0E6D8556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146935" cy="2146935"/>
                  <wp:effectExtent l="0" t="0" r="1905" b="1905"/>
                  <wp:docPr id="11" name="图片 11" descr="linear_pl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linear_plot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935" cy="214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top"/>
          </w:tcPr>
          <w:p w14:paraId="751F3222">
            <w:pPr>
              <w:spacing w:after="120" w:line="240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2148205" cy="2148205"/>
                  <wp:effectExtent l="0" t="0" r="635" b="635"/>
                  <wp:docPr id="1" name="图片 1" descr="linear_pl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inear_plot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205" cy="2148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top"/>
          </w:tcPr>
          <w:p w14:paraId="0C8E671E">
            <w:pPr>
              <w:spacing w:after="120" w:line="240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2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drawing>
                <wp:inline distT="0" distB="0" distL="114300" distR="114300">
                  <wp:extent cx="2161540" cy="2161540"/>
                  <wp:effectExtent l="0" t="0" r="2540" b="2540"/>
                  <wp:docPr id="10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540" cy="2161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EF7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vAlign w:val="top"/>
          </w:tcPr>
          <w:p w14:paraId="15CD97A2">
            <w:pPr>
              <w:jc w:val="center"/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  <w:t>K19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top"/>
          </w:tcPr>
          <w:p w14:paraId="0BDF2C3C">
            <w:pPr>
              <w:spacing w:after="120" w:line="240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  <w:t>K21</w:t>
            </w:r>
          </w:p>
        </w:tc>
        <w:tc>
          <w:tcPr>
            <w:tcW w:w="0" w:type="auto"/>
            <w:tcBorders>
              <w:tl2br w:val="nil"/>
              <w:tr2bl w:val="nil"/>
            </w:tcBorders>
            <w:vAlign w:val="top"/>
          </w:tcPr>
          <w:p w14:paraId="730D580B">
            <w:pPr>
              <w:spacing w:after="120" w:line="240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  <w:t>K31</w:t>
            </w:r>
          </w:p>
        </w:tc>
      </w:tr>
    </w:tbl>
    <w:p w14:paraId="40C37FF0">
      <w:pPr>
        <w:pStyle w:val="15"/>
        <w:numPr>
          <w:numId w:val="0"/>
        </w:numPr>
        <w:spacing w:after="100"/>
        <w:ind w:left="360" w:leftChars="0"/>
        <w:rPr>
          <w:rFonts w:hint="eastAsia" w:ascii="微软雅黑" w:hAnsi="微软雅黑" w:eastAsia="微软雅黑" w:cs="微软雅黑"/>
        </w:rPr>
      </w:pPr>
    </w:p>
    <w:p w14:paraId="08F1A4CC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3.2 </w:t>
      </w:r>
      <w:r>
        <w:rPr>
          <w:rFonts w:hint="eastAsia" w:ascii="微软雅黑" w:hAnsi="微软雅黑" w:eastAsia="微软雅黑" w:cs="微软雅黑"/>
        </w:rPr>
        <w:t>基因组组装质量评估</w:t>
      </w:r>
    </w:p>
    <w:p w14:paraId="56F99F12">
      <w:pPr>
        <w:pStyle w:val="5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表2：组装连续性指标对比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84"/>
        <w:gridCol w:w="1888"/>
        <w:gridCol w:w="1888"/>
        <w:gridCol w:w="1661"/>
        <w:gridCol w:w="1981"/>
      </w:tblGrid>
      <w:tr w14:paraId="1E089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534" w:type="pct"/>
          </w:tcPr>
          <w:p w14:paraId="6767006A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连续性指标</w:t>
            </w:r>
          </w:p>
        </w:tc>
        <w:tc>
          <w:tcPr>
            <w:tcW w:w="882" w:type="pct"/>
          </w:tcPr>
          <w:p w14:paraId="5F445F28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k=19</w:t>
            </w:r>
          </w:p>
        </w:tc>
        <w:tc>
          <w:tcPr>
            <w:tcW w:w="882" w:type="pct"/>
          </w:tcPr>
          <w:p w14:paraId="6B792187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k=21</w:t>
            </w:r>
          </w:p>
        </w:tc>
        <w:tc>
          <w:tcPr>
            <w:tcW w:w="776" w:type="pct"/>
          </w:tcPr>
          <w:p w14:paraId="539ECC9F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k=31</w:t>
            </w:r>
          </w:p>
        </w:tc>
        <w:tc>
          <w:tcPr>
            <w:tcW w:w="925" w:type="pct"/>
          </w:tcPr>
          <w:p w14:paraId="085AE316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改善幅度</w:t>
            </w:r>
          </w:p>
        </w:tc>
      </w:tr>
      <w:tr w14:paraId="0C61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34" w:type="pct"/>
          </w:tcPr>
          <w:p w14:paraId="7CDAA370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总Contig数量</w:t>
            </w:r>
          </w:p>
        </w:tc>
        <w:tc>
          <w:tcPr>
            <w:tcW w:w="882" w:type="pct"/>
          </w:tcPr>
          <w:p w14:paraId="4FA3B5B6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148,976</w:t>
            </w:r>
          </w:p>
        </w:tc>
        <w:tc>
          <w:tcPr>
            <w:tcW w:w="882" w:type="pct"/>
          </w:tcPr>
          <w:p w14:paraId="1480F33C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118,358</w:t>
            </w:r>
          </w:p>
        </w:tc>
        <w:tc>
          <w:tcPr>
            <w:tcW w:w="776" w:type="pct"/>
          </w:tcPr>
          <w:p w14:paraId="06416823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50,836</w:t>
            </w:r>
          </w:p>
        </w:tc>
        <w:tc>
          <w:tcPr>
            <w:tcW w:w="925" w:type="pct"/>
          </w:tcPr>
          <w:p w14:paraId="169210A3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↓66%</w:t>
            </w:r>
          </w:p>
        </w:tc>
      </w:tr>
      <w:tr w14:paraId="0EB1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34" w:type="pct"/>
          </w:tcPr>
          <w:p w14:paraId="6757648F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N50(bp)</w:t>
            </w:r>
          </w:p>
        </w:tc>
        <w:tc>
          <w:tcPr>
            <w:tcW w:w="882" w:type="pct"/>
          </w:tcPr>
          <w:p w14:paraId="01AFDC1F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1,610</w:t>
            </w:r>
          </w:p>
        </w:tc>
        <w:tc>
          <w:tcPr>
            <w:tcW w:w="882" w:type="pct"/>
          </w:tcPr>
          <w:p w14:paraId="20DCD739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2,308</w:t>
            </w:r>
          </w:p>
        </w:tc>
        <w:tc>
          <w:tcPr>
            <w:tcW w:w="776" w:type="pct"/>
          </w:tcPr>
          <w:p w14:paraId="24F8B1E9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10,357</w:t>
            </w:r>
          </w:p>
        </w:tc>
        <w:tc>
          <w:tcPr>
            <w:tcW w:w="925" w:type="pct"/>
          </w:tcPr>
          <w:p w14:paraId="3A4BF6D3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↑543%</w:t>
            </w:r>
          </w:p>
        </w:tc>
      </w:tr>
      <w:tr w14:paraId="3F472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34" w:type="pct"/>
          </w:tcPr>
          <w:p w14:paraId="2E07A20F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最大Contig(bp)</w:t>
            </w:r>
          </w:p>
        </w:tc>
        <w:tc>
          <w:tcPr>
            <w:tcW w:w="882" w:type="pct"/>
          </w:tcPr>
          <w:p w14:paraId="0B767815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10,051</w:t>
            </w:r>
          </w:p>
        </w:tc>
        <w:tc>
          <w:tcPr>
            <w:tcW w:w="882" w:type="pct"/>
          </w:tcPr>
          <w:p w14:paraId="29B9E366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18,048</w:t>
            </w:r>
          </w:p>
        </w:tc>
        <w:tc>
          <w:tcPr>
            <w:tcW w:w="776" w:type="pct"/>
          </w:tcPr>
          <w:p w14:paraId="637F3949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82,757</w:t>
            </w:r>
          </w:p>
        </w:tc>
        <w:tc>
          <w:tcPr>
            <w:tcW w:w="925" w:type="pct"/>
          </w:tcPr>
          <w:p w14:paraId="20FD3A71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↑723%</w:t>
            </w:r>
          </w:p>
        </w:tc>
      </w:tr>
      <w:tr w14:paraId="409AF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34" w:type="pct"/>
          </w:tcPr>
          <w:p w14:paraId="1054E9F3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≥10kb Contigs</w:t>
            </w:r>
          </w:p>
        </w:tc>
        <w:tc>
          <w:tcPr>
            <w:tcW w:w="882" w:type="pct"/>
          </w:tcPr>
          <w:p w14:paraId="21A94286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</w:t>
            </w:r>
          </w:p>
        </w:tc>
        <w:tc>
          <w:tcPr>
            <w:tcW w:w="882" w:type="pct"/>
          </w:tcPr>
          <w:p w14:paraId="71569769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18</w:t>
            </w:r>
          </w:p>
        </w:tc>
        <w:tc>
          <w:tcPr>
            <w:tcW w:w="776" w:type="pct"/>
          </w:tcPr>
          <w:p w14:paraId="5C3252ED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435</w:t>
            </w:r>
          </w:p>
        </w:tc>
        <w:tc>
          <w:tcPr>
            <w:tcW w:w="925" w:type="pct"/>
          </w:tcPr>
          <w:p w14:paraId="0453B224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↑434倍</w:t>
            </w:r>
          </w:p>
        </w:tc>
      </w:tr>
    </w:tbl>
    <w:p w14:paraId="5C2619E5">
      <w:pPr>
        <w:pStyle w:val="5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表3：组装准确性指标对比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263"/>
        <w:gridCol w:w="1471"/>
        <w:gridCol w:w="1471"/>
        <w:gridCol w:w="1471"/>
        <w:gridCol w:w="2026"/>
      </w:tblGrid>
      <w:tr w14:paraId="7E82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991" w:type="pct"/>
          </w:tcPr>
          <w:p w14:paraId="6A64D2D5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准确性指标</w:t>
            </w:r>
          </w:p>
        </w:tc>
        <w:tc>
          <w:tcPr>
            <w:tcW w:w="687" w:type="pct"/>
          </w:tcPr>
          <w:p w14:paraId="6DBADFF2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k=19</w:t>
            </w:r>
          </w:p>
        </w:tc>
        <w:tc>
          <w:tcPr>
            <w:tcW w:w="687" w:type="pct"/>
          </w:tcPr>
          <w:p w14:paraId="198CBB2B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k=21</w:t>
            </w:r>
          </w:p>
        </w:tc>
        <w:tc>
          <w:tcPr>
            <w:tcW w:w="687" w:type="pct"/>
          </w:tcPr>
          <w:p w14:paraId="561A05DC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k=31</w:t>
            </w:r>
          </w:p>
        </w:tc>
        <w:tc>
          <w:tcPr>
            <w:tcW w:w="946" w:type="pct"/>
          </w:tcPr>
          <w:p w14:paraId="59723A46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优化趋势</w:t>
            </w:r>
          </w:p>
        </w:tc>
      </w:tr>
      <w:tr w14:paraId="6F576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91" w:type="pct"/>
          </w:tcPr>
          <w:p w14:paraId="5506DF54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基因组覆盖度(%)</w:t>
            </w:r>
          </w:p>
        </w:tc>
        <w:tc>
          <w:tcPr>
            <w:tcW w:w="687" w:type="pct"/>
          </w:tcPr>
          <w:p w14:paraId="47EBEA38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68.03</w:t>
            </w:r>
          </w:p>
        </w:tc>
        <w:tc>
          <w:tcPr>
            <w:tcW w:w="687" w:type="pct"/>
          </w:tcPr>
          <w:p w14:paraId="67DDEA62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74.97</w:t>
            </w:r>
          </w:p>
        </w:tc>
        <w:tc>
          <w:tcPr>
            <w:tcW w:w="687" w:type="pct"/>
          </w:tcPr>
          <w:p w14:paraId="443E144B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86.05</w:t>
            </w:r>
          </w:p>
        </w:tc>
        <w:tc>
          <w:tcPr>
            <w:tcW w:w="946" w:type="pct"/>
          </w:tcPr>
          <w:p w14:paraId="4B6455E5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持续提升</w:t>
            </w:r>
          </w:p>
        </w:tc>
      </w:tr>
      <w:tr w14:paraId="08A9A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91" w:type="pct"/>
          </w:tcPr>
          <w:p w14:paraId="37C06E44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错配率(/100kbp)</w:t>
            </w:r>
          </w:p>
        </w:tc>
        <w:tc>
          <w:tcPr>
            <w:tcW w:w="687" w:type="pct"/>
          </w:tcPr>
          <w:p w14:paraId="1EDE4073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1.41</w:t>
            </w:r>
          </w:p>
        </w:tc>
        <w:tc>
          <w:tcPr>
            <w:tcW w:w="687" w:type="pct"/>
          </w:tcPr>
          <w:p w14:paraId="44E8DBDE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0.96</w:t>
            </w:r>
          </w:p>
        </w:tc>
        <w:tc>
          <w:tcPr>
            <w:tcW w:w="687" w:type="pct"/>
          </w:tcPr>
          <w:p w14:paraId="54A6A87A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0.31</w:t>
            </w:r>
          </w:p>
        </w:tc>
        <w:tc>
          <w:tcPr>
            <w:tcW w:w="946" w:type="pct"/>
          </w:tcPr>
          <w:p w14:paraId="6083E14B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显著降低</w:t>
            </w:r>
          </w:p>
        </w:tc>
      </w:tr>
      <w:tr w14:paraId="33790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91" w:type="pct"/>
          </w:tcPr>
          <w:p w14:paraId="4C66E56C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插入缺失率(/100kbp)</w:t>
            </w:r>
          </w:p>
        </w:tc>
        <w:tc>
          <w:tcPr>
            <w:tcW w:w="687" w:type="pct"/>
          </w:tcPr>
          <w:p w14:paraId="08560893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0.05</w:t>
            </w:r>
          </w:p>
        </w:tc>
        <w:tc>
          <w:tcPr>
            <w:tcW w:w="687" w:type="pct"/>
          </w:tcPr>
          <w:p w14:paraId="66B537BE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0.03</w:t>
            </w:r>
          </w:p>
        </w:tc>
        <w:tc>
          <w:tcPr>
            <w:tcW w:w="687" w:type="pct"/>
          </w:tcPr>
          <w:p w14:paraId="6F71B10E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0.00</w:t>
            </w:r>
          </w:p>
        </w:tc>
        <w:tc>
          <w:tcPr>
            <w:tcW w:w="946" w:type="pct"/>
          </w:tcPr>
          <w:p w14:paraId="66E8ACC3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完全消除</w:t>
            </w:r>
          </w:p>
        </w:tc>
      </w:tr>
      <w:tr w14:paraId="24402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91" w:type="pct"/>
          </w:tcPr>
          <w:p w14:paraId="15702E30">
            <w:pP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结构错误数</w:t>
            </w:r>
          </w:p>
        </w:tc>
        <w:tc>
          <w:tcPr>
            <w:tcW w:w="687" w:type="pct"/>
          </w:tcPr>
          <w:p w14:paraId="456AA62E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</w:t>
            </w:r>
          </w:p>
        </w:tc>
        <w:tc>
          <w:tcPr>
            <w:tcW w:w="687" w:type="pct"/>
          </w:tcPr>
          <w:p w14:paraId="5A62DB87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</w:t>
            </w:r>
          </w:p>
        </w:tc>
        <w:tc>
          <w:tcPr>
            <w:tcW w:w="687" w:type="pct"/>
          </w:tcPr>
          <w:p w14:paraId="02890731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0</w:t>
            </w:r>
          </w:p>
        </w:tc>
        <w:tc>
          <w:tcPr>
            <w:tcW w:w="946" w:type="pct"/>
          </w:tcPr>
          <w:p w14:paraId="3E3A09E2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保持完美</w:t>
            </w:r>
          </w:p>
        </w:tc>
      </w:tr>
    </w:tbl>
    <w:p w14:paraId="6C044B06">
      <w:pPr>
        <w:pStyle w:val="3"/>
        <w:keepNext/>
        <w:keepLines w:val="0"/>
        <w:pageBreakBefore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关键结果展示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5588"/>
        <w:gridCol w:w="5094"/>
      </w:tblGrid>
      <w:tr w14:paraId="24035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68E0BCF0"/>
          <w:p w14:paraId="25537E21">
            <w:r>
              <w:drawing>
                <wp:inline distT="0" distB="0" distL="114300" distR="114300">
                  <wp:extent cx="3473450" cy="5057140"/>
                  <wp:effectExtent l="0" t="0" r="1270" b="254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r="23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505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DF3845">
            <w:r>
              <w:drawing>
                <wp:inline distT="0" distB="0" distL="114300" distR="114300">
                  <wp:extent cx="2715260" cy="1056640"/>
                  <wp:effectExtent l="0" t="0" r="12700" b="10160"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260" cy="10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00CFAB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3373120" cy="307340"/>
                  <wp:effectExtent l="0" t="0" r="10160" b="12700"/>
                  <wp:docPr id="1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12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14:paraId="15C5A4DF">
            <w:r>
              <w:drawing>
                <wp:inline distT="0" distB="0" distL="114300" distR="114300">
                  <wp:extent cx="1867535" cy="3521710"/>
                  <wp:effectExtent l="0" t="0" r="6985" b="13970"/>
                  <wp:docPr id="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35" cy="352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56335" cy="2471420"/>
                  <wp:effectExtent l="0" t="0" r="1905" b="12700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247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595374"/>
          <w:p w14:paraId="0B45C993">
            <w:r>
              <w:drawing>
                <wp:inline distT="0" distB="0" distL="114300" distR="114300">
                  <wp:extent cx="2796540" cy="655320"/>
                  <wp:effectExtent l="0" t="0" r="7620" b="0"/>
                  <wp:docPr id="27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54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17BDE"/>
          <w:p w14:paraId="2CDBC512">
            <w:r>
              <w:drawing>
                <wp:inline distT="0" distB="0" distL="114300" distR="114300">
                  <wp:extent cx="3094355" cy="1584960"/>
                  <wp:effectExtent l="0" t="0" r="14605" b="0"/>
                  <wp:docPr id="2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355" cy="158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D71CDE">
            <w:pPr>
              <w:rPr>
                <w:rFonts w:hint="eastAsia"/>
              </w:rPr>
            </w:pPr>
          </w:p>
        </w:tc>
      </w:tr>
      <w:tr w14:paraId="2309D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5341" w:type="dxa"/>
          </w:tcPr>
          <w:p w14:paraId="0259B8FB">
            <w:r>
              <w:drawing>
                <wp:inline distT="0" distB="0" distL="114300" distR="114300">
                  <wp:extent cx="3194050" cy="1652905"/>
                  <wp:effectExtent l="0" t="0" r="6350" b="8255"/>
                  <wp:docPr id="2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050" cy="165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56484F">
            <w:pPr>
              <w:rPr>
                <w:rFonts w:hint="eastAsia"/>
              </w:rPr>
            </w:pPr>
          </w:p>
        </w:tc>
        <w:tc>
          <w:tcPr>
            <w:tcW w:w="5341" w:type="dxa"/>
          </w:tcPr>
          <w:p w14:paraId="6BF894BB">
            <w:pPr>
              <w:rPr>
                <w:rFonts w:hint="eastAsia"/>
                <w:vertAlign w:val="baseline"/>
              </w:rPr>
            </w:pPr>
            <w:r>
              <w:drawing>
                <wp:inline distT="0" distB="0" distL="114300" distR="114300">
                  <wp:extent cx="3141345" cy="1627505"/>
                  <wp:effectExtent l="0" t="0" r="13335" b="3175"/>
                  <wp:docPr id="2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345" cy="162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4036C">
      <w:pPr>
        <w:pStyle w:val="3"/>
        <w:keepNext/>
        <w:keepLines w:val="0"/>
        <w:pageBreakBefore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实验数据展示</w:t>
      </w:r>
    </w:p>
    <w:p w14:paraId="10430087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输入数据</w:t>
      </w:r>
      <w:r>
        <w:rPr>
          <w:rFonts w:hint="eastAsia" w:ascii="微软雅黑" w:hAnsi="微软雅黑" w:eastAsia="微软雅黑" w:cs="微软雅黑"/>
        </w:rPr>
        <w:t>：</w:t>
      </w:r>
    </w:p>
    <w:p w14:paraId="5E5B1924">
      <w:pPr>
        <w:pStyle w:val="15"/>
        <w:numPr>
          <w:ilvl w:val="0"/>
          <w:numId w:val="3"/>
        </w:num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原始测序文件：</w:t>
      </w:r>
      <w:r>
        <w:rPr>
          <w:rFonts w:hint="eastAsia" w:ascii="微软雅黑" w:hAnsi="微软雅黑" w:eastAsia="微软雅黑" w:cs="微软雅黑"/>
          <w:color w:val="0000FF"/>
          <w:shd w:val="clear" w:color="FFFFFF" w:fill="D9D9D9"/>
        </w:rPr>
        <w:t>paired_date1.fq</w:t>
      </w:r>
      <w:r>
        <w:rPr>
          <w:rFonts w:hint="eastAsia" w:ascii="微软雅黑" w:hAnsi="微软雅黑" w:eastAsia="微软雅黑" w:cs="微软雅黑"/>
          <w:shd w:val="clear" w:color="FFFFFF" w:fill="D9D9D9"/>
        </w:rPr>
        <w:t xml:space="preserve"> </w:t>
      </w:r>
      <w:r>
        <w:rPr>
          <w:rFonts w:hint="eastAsia" w:ascii="微软雅黑" w:hAnsi="微软雅黑" w:eastAsia="微软雅黑" w:cs="微软雅黑"/>
        </w:rPr>
        <w:t xml:space="preserve">(562MB), </w:t>
      </w:r>
      <w:r>
        <w:rPr>
          <w:rFonts w:hint="eastAsia" w:ascii="微软雅黑" w:hAnsi="微软雅黑" w:eastAsia="微软雅黑" w:cs="微软雅黑"/>
          <w:color w:val="0000FF"/>
          <w:highlight w:val="lightGray"/>
        </w:rPr>
        <w:t xml:space="preserve">paired_date2.fq </w:t>
      </w:r>
      <w:r>
        <w:rPr>
          <w:rFonts w:hint="eastAsia" w:ascii="微软雅黑" w:hAnsi="微软雅黑" w:eastAsia="微软雅黑" w:cs="微软雅黑"/>
        </w:rPr>
        <w:t>(562MB)</w:t>
      </w:r>
    </w:p>
    <w:p w14:paraId="66AF59B9">
      <w:pPr>
        <w:pStyle w:val="15"/>
        <w:numPr>
          <w:numId w:val="0"/>
        </w:numPr>
        <w:spacing w:after="10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640195" cy="40513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rcRect t="313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73DC">
      <w:pPr>
        <w:pStyle w:val="15"/>
        <w:numPr>
          <w:ilvl w:val="0"/>
          <w:numId w:val="3"/>
        </w:num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参考基因组：</w:t>
      </w:r>
      <w:r>
        <w:rPr>
          <w:rFonts w:hint="eastAsia" w:ascii="微软雅黑" w:hAnsi="微软雅黑" w:eastAsia="微软雅黑" w:cs="微软雅黑"/>
          <w:color w:val="0000FF"/>
          <w:shd w:val="clear" w:color="FFFFFF" w:fill="D9D9D9"/>
        </w:rPr>
        <w:t>TAIR.chrom4.fa</w:t>
      </w:r>
      <w:r>
        <w:rPr>
          <w:rFonts w:hint="eastAsia" w:ascii="微软雅黑" w:hAnsi="微软雅黑" w:eastAsia="微软雅黑" w:cs="微软雅黑"/>
        </w:rPr>
        <w:t xml:space="preserve"> (18MB)</w:t>
      </w:r>
    </w:p>
    <w:p w14:paraId="5804576C">
      <w:pPr>
        <w:pStyle w:val="15"/>
        <w:numPr>
          <w:numId w:val="0"/>
        </w:numPr>
        <w:spacing w:after="100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640195" cy="292100"/>
            <wp:effectExtent l="0" t="0" r="4445" b="1270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8CF6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输出数据</w:t>
      </w:r>
      <w:r>
        <w:rPr>
          <w:rFonts w:hint="eastAsia" w:ascii="微软雅黑" w:hAnsi="微软雅黑" w:eastAsia="微软雅黑" w:cs="微软雅黑"/>
        </w:rPr>
        <w:t>：</w:t>
      </w:r>
    </w:p>
    <w:p w14:paraId="4B5974E7">
      <w:pPr>
        <w:spacing w:after="120"/>
        <w:rPr>
          <w:rFonts w:hint="eastAsia" w:ascii="微软雅黑" w:hAnsi="微软雅黑" w:eastAsia="微软雅黑" w:cs="微软雅黑"/>
          <w:b/>
          <w:bCs/>
        </w:rPr>
      </w:pPr>
      <w:r>
        <w:drawing>
          <wp:inline distT="0" distB="0" distL="114300" distR="114300">
            <wp:extent cx="6640195" cy="4962525"/>
            <wp:effectExtent l="0" t="0" r="444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rcRect t="8253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C26BD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分析脚本</w:t>
      </w:r>
      <w:r>
        <w:rPr>
          <w:rFonts w:hint="eastAsia" w:ascii="微软雅黑" w:hAnsi="微软雅黑" w:eastAsia="微软雅黑" w:cs="微软雅黑"/>
        </w:rPr>
        <w:t>：</w:t>
      </w:r>
    </w:p>
    <w:p w14:paraId="74B1C9F9">
      <w:pPr>
        <w:pBdr>
          <w:bottom w:val="single" w:color="auto" w:sz="6" w:space="1"/>
        </w:pBdr>
        <w:spacing w:after="120"/>
      </w:pPr>
      <w:r>
        <w:drawing>
          <wp:inline distT="0" distB="0" distL="114300" distR="114300">
            <wp:extent cx="6644005" cy="909955"/>
            <wp:effectExtent l="0" t="0" r="635" b="44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9A1FF">
      <w:pPr>
        <w:rPr>
          <w:rFonts w:hint="eastAsia"/>
        </w:rPr>
      </w:pPr>
    </w:p>
    <w:p w14:paraId="7B5245B5">
      <w:pPr>
        <w:numPr>
          <w:numId w:val="0"/>
        </w:numPr>
        <w:pBdr>
          <w:bottom w:val="single" w:color="auto" w:sz="6" w:space="1"/>
        </w:pBdr>
        <w:spacing w:after="120"/>
        <w:ind w:leftChars="0"/>
        <w:rPr>
          <w:rFonts w:hint="default" w:ascii="微软雅黑" w:hAnsi="微软雅黑" w:eastAsia="微软雅黑" w:cs="微软雅黑"/>
          <w:lang w:val="en-US" w:eastAsia="zh-CN"/>
        </w:rPr>
      </w:pPr>
    </w:p>
    <w:p w14:paraId="72BBE8DF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实验完成时间</w:t>
      </w:r>
      <w:r>
        <w:rPr>
          <w:rFonts w:hint="eastAsia" w:ascii="微软雅黑" w:hAnsi="微软雅黑" w:eastAsia="微软雅黑" w:cs="微软雅黑"/>
        </w:rPr>
        <w:t>：2025年1</w:t>
      </w: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>月</w:t>
      </w: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日</w:t>
      </w:r>
    </w:p>
    <w:sectPr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AB666"/>
    <w:multiLevelType w:val="singleLevel"/>
    <w:tmpl w:val="97BAB666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F9565C1"/>
    <w:multiLevelType w:val="singleLevel"/>
    <w:tmpl w:val="9F9565C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F894099"/>
    <w:rsid w:val="7BBE50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rPr>
      <w:b/>
      <w:bCs/>
      <w:color w:val="000000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1077</Words>
  <Characters>1667</Characters>
  <TotalTime>36</TotalTime>
  <ScaleCrop>false</ScaleCrop>
  <LinksUpToDate>false</LinksUpToDate>
  <CharactersWithSpaces>1770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2025-11-06T14:34:00Z</dcterms:created>
  <dc:creator>Un-named</dc:creator>
  <cp:lastModifiedBy>仏系少女</cp:lastModifiedBy>
  <dcterms:modified xsi:type="dcterms:W3CDTF">2025-11-06T15:56:18Z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eyJoZGlkIjoiMzU4ZGZmMWU5MzBiNTExODQ5ZDVhZDA5ZmIwMzJiZjYiLCJ1c2VySWQiOiI0MjQwMzc4MzkifQ==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B7A719EF137F4023AAFA6C4486E728BF_12</vt:lpwstr>
  </property>
</Properties>
</file>