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23EFD">
      <w:pPr>
        <w:pStyle w:val="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center"/>
        <w:textAlignment w:val="auto"/>
        <w:rPr>
          <w:rFonts w:hint="eastAsia" w:ascii="微软雅黑" w:hAnsi="微软雅黑" w:eastAsia="微软雅黑" w:cs="微软雅黑"/>
          <w:sz w:val="44"/>
          <w:szCs w:val="44"/>
        </w:rPr>
      </w:pPr>
      <w:r>
        <w:rPr>
          <w:rFonts w:hint="eastAsia" w:ascii="微软雅黑" w:hAnsi="微软雅黑" w:eastAsia="微软雅黑" w:cs="微软雅黑"/>
          <w:sz w:val="44"/>
          <w:szCs w:val="44"/>
        </w:rPr>
        <w:t>基因组组装工具性能比较分析报告</w:t>
      </w:r>
    </w:p>
    <w:p w14:paraId="604A23C1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rFonts w:hint="eastAsia" w:ascii="微软雅黑" w:hAnsi="微软雅黑" w:eastAsia="微软雅黑" w:cs="微软雅黑"/>
          <w:sz w:val="40"/>
          <w:szCs w:val="40"/>
        </w:rPr>
      </w:pPr>
      <w:r>
        <w:rPr>
          <w:rFonts w:hint="eastAsia" w:ascii="微软雅黑" w:hAnsi="微软雅黑" w:eastAsia="微软雅黑" w:cs="微软雅黑"/>
          <w:sz w:val="40"/>
          <w:szCs w:val="40"/>
        </w:rPr>
        <w:t>实验概述</w:t>
      </w:r>
    </w:p>
    <w:p w14:paraId="6E20ECD1">
      <w:pPr>
        <w:bidi w:val="0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本实验旨在比较不同基因组组装工具（</w:t>
      </w:r>
      <w:r>
        <w:rPr>
          <w:rFonts w:hint="eastAsia" w:ascii="微软雅黑" w:hAnsi="微软雅黑" w:eastAsia="微软雅黑" w:cs="微软雅黑"/>
          <w:b/>
          <w:color w:val="0000FF"/>
          <w:sz w:val="22"/>
          <w:szCs w:val="24"/>
        </w:rPr>
        <w:t>wtdbg2</w:t>
      </w:r>
      <w:r>
        <w:rPr>
          <w:rFonts w:hint="eastAsia" w:ascii="微软雅黑" w:hAnsi="微软雅黑" w:eastAsia="微软雅黑" w:cs="微软雅黑"/>
          <w:sz w:val="22"/>
          <w:szCs w:val="24"/>
        </w:rPr>
        <w:t>和</w:t>
      </w:r>
      <w:r>
        <w:rPr>
          <w:rFonts w:hint="eastAsia" w:ascii="微软雅黑" w:hAnsi="微软雅黑" w:eastAsia="微软雅黑" w:cs="微软雅黑"/>
          <w:b/>
          <w:color w:val="0000FF"/>
          <w:sz w:val="22"/>
          <w:szCs w:val="24"/>
        </w:rPr>
        <w:t>hifiasm</w:t>
      </w:r>
      <w:r>
        <w:rPr>
          <w:rFonts w:hint="eastAsia" w:ascii="微软雅黑" w:hAnsi="微软雅黑" w:eastAsia="微软雅黑" w:cs="微软雅黑"/>
          <w:sz w:val="22"/>
          <w:szCs w:val="24"/>
        </w:rPr>
        <w:t>）在处理不同类型测序数据（</w:t>
      </w:r>
      <w:r>
        <w:rPr>
          <w:rFonts w:hint="eastAsia" w:ascii="微软雅黑" w:hAnsi="微软雅黑" w:eastAsia="微软雅黑" w:cs="微软雅黑"/>
          <w:b/>
          <w:color w:val="17B744"/>
          <w:sz w:val="22"/>
          <w:szCs w:val="24"/>
        </w:rPr>
        <w:t>CLR</w:t>
      </w:r>
      <w:r>
        <w:rPr>
          <w:rFonts w:hint="eastAsia" w:ascii="微软雅黑" w:hAnsi="微软雅黑" w:eastAsia="微软雅黑" w:cs="微软雅黑"/>
          <w:sz w:val="22"/>
          <w:szCs w:val="24"/>
        </w:rPr>
        <w:t>和</w:t>
      </w:r>
      <w:r>
        <w:rPr>
          <w:rFonts w:hint="eastAsia" w:ascii="微软雅黑" w:hAnsi="微软雅黑" w:eastAsia="微软雅黑" w:cs="微软雅黑"/>
          <w:b/>
          <w:color w:val="17B744"/>
          <w:sz w:val="22"/>
          <w:szCs w:val="24"/>
        </w:rPr>
        <w:t>CCS</w:t>
      </w:r>
      <w:r>
        <w:rPr>
          <w:rFonts w:hint="eastAsia" w:ascii="微软雅黑" w:hAnsi="微软雅黑" w:eastAsia="微软雅黑" w:cs="微软雅黑"/>
          <w:sz w:val="22"/>
          <w:szCs w:val="24"/>
        </w:rPr>
        <w:t>）时的表现差异。通过系统的性能评估，为基因组组装项目中的工具选择提供数据支持。</w:t>
      </w:r>
    </w:p>
    <w:p w14:paraId="03D63879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rFonts w:hint="eastAsia" w:ascii="微软雅黑" w:hAnsi="微软雅黑" w:eastAsia="微软雅黑" w:cs="微软雅黑"/>
          <w:sz w:val="40"/>
          <w:szCs w:val="40"/>
        </w:rPr>
      </w:pPr>
      <w:r>
        <w:rPr>
          <w:rFonts w:hint="eastAsia" w:ascii="微软雅黑" w:hAnsi="微软雅黑" w:eastAsia="微软雅黑" w:cs="微软雅黑"/>
          <w:sz w:val="40"/>
          <w:szCs w:val="40"/>
        </w:rPr>
        <w:t>1. 材料与方法</w:t>
      </w:r>
    </w:p>
    <w:p w14:paraId="662BFEC2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1.1 实验数据</w:t>
      </w:r>
    </w:p>
    <w:p w14:paraId="7E00E6BF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4"/>
        </w:rPr>
        <w:t>参考基因组</w:t>
      </w:r>
      <w:r>
        <w:rPr>
          <w:rFonts w:hint="eastAsia" w:ascii="微软雅黑" w:hAnsi="微软雅黑" w:eastAsia="微软雅黑" w:cs="微软雅黑"/>
          <w:sz w:val="22"/>
          <w:szCs w:val="24"/>
        </w:rPr>
        <w:t>：大肠杆菌（Escherichia coli），长度4,641,652 bp</w:t>
      </w:r>
    </w:p>
    <w:p w14:paraId="6C5B8CCC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4"/>
        </w:rPr>
        <w:t>测序数据</w:t>
      </w:r>
      <w:r>
        <w:rPr>
          <w:rFonts w:hint="eastAsia" w:ascii="微软雅黑" w:hAnsi="微软雅黑" w:eastAsia="微软雅黑" w:cs="微软雅黑"/>
          <w:sz w:val="22"/>
          <w:szCs w:val="24"/>
        </w:rPr>
        <w:t>：PacBio CLR数据（连续长读长）</w:t>
      </w:r>
      <w:r>
        <w:rPr>
          <w:rFonts w:hint="eastAsia" w:ascii="微软雅黑" w:hAnsi="微软雅黑" w:eastAsia="微软雅黑" w:cs="微软雅黑"/>
          <w:sz w:val="22"/>
          <w:szCs w:val="24"/>
          <w:lang w:eastAsia="zh-CN"/>
        </w:rPr>
        <w:t>、</w:t>
      </w:r>
      <w:r>
        <w:rPr>
          <w:rFonts w:hint="eastAsia" w:ascii="微软雅黑" w:hAnsi="微软雅黑" w:eastAsia="微软雅黑" w:cs="微软雅黑"/>
          <w:sz w:val="22"/>
          <w:szCs w:val="24"/>
        </w:rPr>
        <w:t>PacBio CCS数据（环形一致性序列）</w:t>
      </w:r>
    </w:p>
    <w:p w14:paraId="5400D76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1.2 分析工具</w:t>
      </w:r>
    </w:p>
    <w:p w14:paraId="2C289618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4"/>
        </w:rPr>
        <w:t>wtdbg2</w:t>
      </w:r>
      <w:r>
        <w:rPr>
          <w:rFonts w:hint="eastAsia" w:ascii="微软雅黑" w:hAnsi="微软雅黑" w:eastAsia="微软雅黑" w:cs="微软雅黑"/>
          <w:sz w:val="22"/>
          <w:szCs w:val="24"/>
        </w:rPr>
        <w:t xml:space="preserve"> v2.5 - 基于模糊Bruijn图的快速组装工具</w:t>
      </w:r>
    </w:p>
    <w:p w14:paraId="4BBCFA92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4"/>
        </w:rPr>
        <w:t>hifiasm</w:t>
      </w:r>
      <w:r>
        <w:rPr>
          <w:rFonts w:hint="eastAsia" w:ascii="微软雅黑" w:hAnsi="微软雅黑" w:eastAsia="微软雅黑" w:cs="微软雅黑"/>
          <w:sz w:val="22"/>
          <w:szCs w:val="24"/>
        </w:rPr>
        <w:t xml:space="preserve"> v0.16 - 基于重叠图的高精度组装工具  </w:t>
      </w:r>
    </w:p>
    <w:p w14:paraId="0C38A597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4"/>
        </w:rPr>
        <w:t>QUAST</w:t>
      </w:r>
      <w:r>
        <w:rPr>
          <w:rFonts w:hint="eastAsia" w:ascii="微软雅黑" w:hAnsi="微软雅黑" w:eastAsia="微软雅黑" w:cs="微软雅黑"/>
          <w:sz w:val="22"/>
          <w:szCs w:val="24"/>
        </w:rPr>
        <w:t xml:space="preserve"> v5.3 - 组装质量评估工具</w:t>
      </w:r>
    </w:p>
    <w:p w14:paraId="3F8D4837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1.3 实验设计</w:t>
      </w:r>
    </w:p>
    <w:p w14:paraId="707C0A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  <w:highlight w:val="lightGray"/>
          <w:shd w:val="clear" w:color="auto" w:fill="auto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lightGray"/>
          <w:shd w:val="clear" w:color="auto" w:fill="auto"/>
        </w:rPr>
        <w:t xml:space="preserve"> 三组对比实验设计
</w:t>
      </w:r>
    </w:p>
    <w:p w14:paraId="54DD9B1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4"/>
          <w:szCs w:val="24"/>
          <w:highlight w:val="lightGray"/>
          <w:shd w:val="clear" w:color="auto" w:fill="auto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lightGray"/>
          <w:shd w:val="clear" w:color="auto" w:fill="auto"/>
        </w:rPr>
        <w:t>wtdbg2 + CLR数据    → 评估工具在长读长高错误率数据表现
</w:t>
      </w:r>
    </w:p>
    <w:p w14:paraId="114480D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8"/>
          <w:szCs w:val="32"/>
          <w:highlight w:val="lightGray"/>
          <w:shd w:val="clear" w:color="auto" w:fill="auto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lightGray"/>
          <w:shd w:val="clear" w:color="auto" w:fill="auto"/>
        </w:rPr>
        <w:t>wtdbg2 + CCS数据    → 评估工具在高精度数据表现  
</w:t>
      </w:r>
    </w:p>
    <w:p w14:paraId="64BEB19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8"/>
          <w:szCs w:val="32"/>
          <w:highlight w:val="lightGray"/>
          <w:shd w:val="clear" w:color="auto" w:fill="auto"/>
        </w:rPr>
      </w:pPr>
      <w:r>
        <w:rPr>
          <w:rFonts w:hint="eastAsia" w:ascii="微软雅黑" w:hAnsi="微软雅黑" w:eastAsia="微软雅黑" w:cs="微软雅黑"/>
          <w:sz w:val="24"/>
          <w:szCs w:val="24"/>
          <w:highlight w:val="lightGray"/>
          <w:shd w:val="clear" w:color="auto" w:fill="auto"/>
        </w:rPr>
        <w:t>hifiasm + CCS数据   → 评估不同算法在相同数据表现</w:t>
      </w:r>
    </w:p>
    <w:p w14:paraId="5AED7DB6">
      <w:pPr>
        <w:keepNext w:val="0"/>
        <w:keepLines w:val="0"/>
        <w:pageBreakBefore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</w:p>
    <w:p w14:paraId="3EB4FDC8">
      <w:pPr>
        <w:pStyle w:val="3"/>
        <w:keepNext w:val="0"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rFonts w:hint="eastAsia" w:ascii="微软雅黑" w:hAnsi="微软雅黑" w:eastAsia="微软雅黑" w:cs="微软雅黑"/>
          <w:sz w:val="40"/>
          <w:szCs w:val="40"/>
        </w:rPr>
      </w:pPr>
      <w:r>
        <w:rPr>
          <w:rFonts w:hint="eastAsia" w:ascii="微软雅黑" w:hAnsi="微软雅黑" w:eastAsia="微软雅黑" w:cs="微软雅黑"/>
          <w:sz w:val="40"/>
          <w:szCs w:val="40"/>
        </w:rPr>
        <w:t>2. 结果与分析</w:t>
      </w:r>
    </w:p>
    <w:p w14:paraId="78C2834F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2.1 组装连续性对比</w:t>
      </w:r>
    </w:p>
    <w:p w14:paraId="5AE15CC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FF0000"/>
          <w:sz w:val="22"/>
          <w:szCs w:val="24"/>
        </w:rPr>
        <w:t>关键发现：数据质量对组装连续性影响显著大于算法选择</w:t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583"/>
        <w:gridCol w:w="2239"/>
        <w:gridCol w:w="2246"/>
        <w:gridCol w:w="2194"/>
      </w:tblGrid>
      <w:tr w14:paraId="505D6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394" w:type="pct"/>
          </w:tcPr>
          <w:p w14:paraId="45BE0A3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评估指标</w:t>
            </w:r>
          </w:p>
        </w:tc>
        <w:tc>
          <w:tcPr>
            <w:tcW w:w="1208" w:type="pct"/>
          </w:tcPr>
          <w:p w14:paraId="254E77A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wtdbg2+CLR</w:t>
            </w:r>
          </w:p>
        </w:tc>
        <w:tc>
          <w:tcPr>
            <w:tcW w:w="1212" w:type="pct"/>
          </w:tcPr>
          <w:p w14:paraId="480C21F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wtdbg2+CCS</w:t>
            </w:r>
          </w:p>
        </w:tc>
        <w:tc>
          <w:tcPr>
            <w:tcW w:w="1184" w:type="pct"/>
          </w:tcPr>
          <w:p w14:paraId="2AA3382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hifiasm+CCS</w:t>
            </w:r>
          </w:p>
        </w:tc>
      </w:tr>
      <w:tr w14:paraId="439E1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94" w:type="pct"/>
          </w:tcPr>
          <w:p w14:paraId="382ECE2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Contig数量</w:t>
            </w:r>
          </w:p>
        </w:tc>
        <w:tc>
          <w:tcPr>
            <w:tcW w:w="1208" w:type="pct"/>
          </w:tcPr>
          <w:p w14:paraId="66BB59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28"/>
                <w:szCs w:val="32"/>
              </w:rPr>
              <w:t>166</w:t>
            </w:r>
          </w:p>
        </w:tc>
        <w:tc>
          <w:tcPr>
            <w:tcW w:w="1212" w:type="pct"/>
          </w:tcPr>
          <w:p w14:paraId="686A4B5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28"/>
                <w:szCs w:val="32"/>
              </w:rPr>
              <w:t>1</w:t>
            </w:r>
          </w:p>
        </w:tc>
        <w:tc>
          <w:tcPr>
            <w:tcW w:w="1184" w:type="pct"/>
          </w:tcPr>
          <w:p w14:paraId="53303D2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28"/>
                <w:szCs w:val="32"/>
              </w:rPr>
              <w:t>1</w:t>
            </w:r>
          </w:p>
        </w:tc>
      </w:tr>
      <w:tr w14:paraId="3BA7C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94" w:type="pct"/>
          </w:tcPr>
          <w:p w14:paraId="7023D0B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N50长度(bp)</w:t>
            </w:r>
          </w:p>
        </w:tc>
        <w:tc>
          <w:tcPr>
            <w:tcW w:w="1208" w:type="pct"/>
          </w:tcPr>
          <w:p w14:paraId="1BDFEC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28"/>
                <w:szCs w:val="32"/>
              </w:rPr>
              <w:t>9,903</w:t>
            </w:r>
          </w:p>
        </w:tc>
        <w:tc>
          <w:tcPr>
            <w:tcW w:w="1212" w:type="pct"/>
          </w:tcPr>
          <w:p w14:paraId="5379E7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28"/>
                <w:szCs w:val="32"/>
              </w:rPr>
              <w:t>4,639,873</w:t>
            </w:r>
          </w:p>
        </w:tc>
        <w:tc>
          <w:tcPr>
            <w:tcW w:w="1184" w:type="pct"/>
          </w:tcPr>
          <w:p w14:paraId="74C8EF9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28"/>
                <w:szCs w:val="32"/>
              </w:rPr>
              <w:t>4,665,559</w:t>
            </w:r>
          </w:p>
        </w:tc>
      </w:tr>
      <w:tr w14:paraId="23619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394" w:type="pct"/>
          </w:tcPr>
          <w:p w14:paraId="3AFF441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最长Contig(bp)</w:t>
            </w:r>
          </w:p>
        </w:tc>
        <w:tc>
          <w:tcPr>
            <w:tcW w:w="1208" w:type="pct"/>
          </w:tcPr>
          <w:p w14:paraId="18CD95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28"/>
                <w:szCs w:val="32"/>
              </w:rPr>
              <w:t>37,015</w:t>
            </w:r>
          </w:p>
        </w:tc>
        <w:tc>
          <w:tcPr>
            <w:tcW w:w="1212" w:type="pct"/>
          </w:tcPr>
          <w:p w14:paraId="028F28A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28"/>
                <w:szCs w:val="32"/>
              </w:rPr>
              <w:t>4,639,873</w:t>
            </w:r>
          </w:p>
        </w:tc>
        <w:tc>
          <w:tcPr>
            <w:tcW w:w="1184" w:type="pct"/>
          </w:tcPr>
          <w:p w14:paraId="310F64A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color w:val="00B050"/>
                <w:sz w:val="28"/>
                <w:szCs w:val="32"/>
              </w:rPr>
              <w:t>4,665,559</w:t>
            </w:r>
          </w:p>
        </w:tc>
      </w:tr>
    </w:tbl>
    <w:p w14:paraId="14F5ABD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4"/>
        </w:rPr>
        <w:t>分析</w:t>
      </w:r>
      <w:r>
        <w:rPr>
          <w:rFonts w:hint="eastAsia" w:ascii="微软雅黑" w:hAnsi="微软雅黑" w:eastAsia="微软雅黑" w:cs="微软雅黑"/>
          <w:sz w:val="22"/>
          <w:szCs w:val="24"/>
        </w:rPr>
        <w:t>：</w:t>
      </w:r>
    </w:p>
    <w:p w14:paraId="1C86DBFB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color w:val="0000FF"/>
          <w:sz w:val="22"/>
          <w:szCs w:val="24"/>
        </w:rPr>
        <w:t>CCS数据</w:t>
      </w:r>
      <w:r>
        <w:rPr>
          <w:rFonts w:hint="eastAsia" w:ascii="微软雅黑" w:hAnsi="微软雅黑" w:eastAsia="微软雅黑" w:cs="微软雅黑"/>
          <w:sz w:val="22"/>
          <w:szCs w:val="24"/>
        </w:rPr>
        <w:t>显著提升组装连续性，两种工具均获得单contig结果</w:t>
      </w:r>
    </w:p>
    <w:p w14:paraId="5DB409DF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color w:val="0000FF"/>
          <w:sz w:val="22"/>
          <w:szCs w:val="24"/>
        </w:rPr>
        <w:t>CLR数据</w:t>
      </w:r>
      <w:r>
        <w:rPr>
          <w:rFonts w:hint="eastAsia" w:ascii="微软雅黑" w:hAnsi="微软雅黑" w:eastAsia="微软雅黑" w:cs="微软雅黑"/>
          <w:sz w:val="22"/>
          <w:szCs w:val="24"/>
        </w:rPr>
        <w:t>受高错误率限制，组装高度碎片化</w:t>
      </w:r>
    </w:p>
    <w:p w14:paraId="5E60F0F2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算法差异对连续性影响相对较小</w:t>
      </w:r>
    </w:p>
    <w:p w14:paraId="2D80D6BD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2.2 组装完整性评估</w:t>
      </w:r>
    </w:p>
    <w:p w14:paraId="5146C2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b w:val="0"/>
          <w:bCs/>
          <w:sz w:val="24"/>
          <w:szCs w:val="28"/>
          <w:lang w:eastAsia="zh-CN"/>
        </w:rPr>
      </w:pPr>
      <w:r>
        <w:rPr>
          <w:rFonts w:hint="eastAsia" w:ascii="微软雅黑" w:hAnsi="微软雅黑" w:eastAsia="微软雅黑" w:cs="微软雅黑"/>
          <w:b/>
          <w:color w:val="FF0000"/>
          <w:sz w:val="24"/>
          <w:szCs w:val="28"/>
        </w:rPr>
        <w:t>关键发现：</w:t>
      </w:r>
      <w:r>
        <w:rPr>
          <w:rFonts w:hint="eastAsia" w:ascii="微软雅黑" w:hAnsi="微软雅黑" w:eastAsia="微软雅黑" w:cs="微软雅黑"/>
          <w:b w:val="0"/>
          <w:bCs/>
          <w:color w:val="FF0000"/>
          <w:sz w:val="24"/>
          <w:szCs w:val="28"/>
        </w:rPr>
        <w:t>wtdbg2在CCS数据上实现近乎完整的基因组组装</w:t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644"/>
        <w:gridCol w:w="2224"/>
        <w:gridCol w:w="2224"/>
        <w:gridCol w:w="2170"/>
      </w:tblGrid>
      <w:tr w14:paraId="6BC86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427" w:type="pct"/>
          </w:tcPr>
          <w:p w14:paraId="74A7D3D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质量指标</w:t>
            </w:r>
          </w:p>
        </w:tc>
        <w:tc>
          <w:tcPr>
            <w:tcW w:w="1200" w:type="pct"/>
          </w:tcPr>
          <w:p w14:paraId="0E2D2F9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wtdbg2+CLR</w:t>
            </w:r>
          </w:p>
        </w:tc>
        <w:tc>
          <w:tcPr>
            <w:tcW w:w="1200" w:type="pct"/>
          </w:tcPr>
          <w:p w14:paraId="3B07DD1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wtdbg2+CCS</w:t>
            </w:r>
          </w:p>
        </w:tc>
        <w:tc>
          <w:tcPr>
            <w:tcW w:w="1171" w:type="pct"/>
          </w:tcPr>
          <w:p w14:paraId="63361D7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hifiasm+CCS</w:t>
            </w:r>
          </w:p>
        </w:tc>
      </w:tr>
      <w:tr w14:paraId="37C2D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27" w:type="pct"/>
          </w:tcPr>
          <w:p w14:paraId="6B2DEA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总长度(bp)</w:t>
            </w:r>
          </w:p>
        </w:tc>
        <w:tc>
          <w:tcPr>
            <w:tcW w:w="1200" w:type="pct"/>
          </w:tcPr>
          <w:p w14:paraId="098FEB7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32"/>
              </w:rPr>
              <w:t>1,508,704</w:t>
            </w:r>
          </w:p>
        </w:tc>
        <w:tc>
          <w:tcPr>
            <w:tcW w:w="1200" w:type="pct"/>
          </w:tcPr>
          <w:p w14:paraId="2C9DB74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32"/>
              </w:rPr>
              <w:t>4,639,873</w:t>
            </w:r>
          </w:p>
        </w:tc>
        <w:tc>
          <w:tcPr>
            <w:tcW w:w="1171" w:type="pct"/>
          </w:tcPr>
          <w:p w14:paraId="04B908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32"/>
              </w:rPr>
              <w:t>4,665,559</w:t>
            </w:r>
          </w:p>
        </w:tc>
      </w:tr>
      <w:tr w14:paraId="506204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27" w:type="pct"/>
          </w:tcPr>
          <w:p w14:paraId="08A9609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参考覆盖度(%)</w:t>
            </w:r>
          </w:p>
        </w:tc>
        <w:tc>
          <w:tcPr>
            <w:tcW w:w="1200" w:type="pct"/>
          </w:tcPr>
          <w:p w14:paraId="0BFAC02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28"/>
                <w:szCs w:val="32"/>
              </w:rPr>
              <w:t>4.997%</w:t>
            </w:r>
          </w:p>
        </w:tc>
        <w:tc>
          <w:tcPr>
            <w:tcW w:w="1200" w:type="pct"/>
          </w:tcPr>
          <w:p w14:paraId="69D6860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B744"/>
                <w:sz w:val="28"/>
                <w:szCs w:val="32"/>
              </w:rPr>
              <w:t>99.943%</w:t>
            </w:r>
          </w:p>
        </w:tc>
        <w:tc>
          <w:tcPr>
            <w:tcW w:w="1171" w:type="pct"/>
          </w:tcPr>
          <w:p w14:paraId="1659367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B744"/>
                <w:sz w:val="28"/>
                <w:szCs w:val="32"/>
              </w:rPr>
              <w:t>100.000%</w:t>
            </w:r>
          </w:p>
        </w:tc>
      </w:tr>
      <w:tr w14:paraId="4850F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427" w:type="pct"/>
          </w:tcPr>
          <w:p w14:paraId="59728E3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与参考基因组差异</w:t>
            </w:r>
          </w:p>
        </w:tc>
        <w:tc>
          <w:tcPr>
            <w:tcW w:w="1200" w:type="pct"/>
          </w:tcPr>
          <w:p w14:paraId="422AF97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32"/>
              </w:rPr>
              <w:t>-3,132,948 bp</w:t>
            </w:r>
          </w:p>
        </w:tc>
        <w:tc>
          <w:tcPr>
            <w:tcW w:w="1200" w:type="pct"/>
          </w:tcPr>
          <w:p w14:paraId="10F6527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32"/>
              </w:rPr>
              <w:t>-1,779 bp</w:t>
            </w:r>
          </w:p>
        </w:tc>
        <w:tc>
          <w:tcPr>
            <w:tcW w:w="1171" w:type="pct"/>
          </w:tcPr>
          <w:p w14:paraId="59A516F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32"/>
              </w:rPr>
              <w:t>+23,907 bp</w:t>
            </w:r>
          </w:p>
        </w:tc>
      </w:tr>
    </w:tbl>
    <w:p w14:paraId="7168FB8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4"/>
        </w:rPr>
        <w:t>分析</w:t>
      </w:r>
      <w:r>
        <w:rPr>
          <w:rFonts w:hint="eastAsia" w:ascii="微软雅黑" w:hAnsi="微软雅黑" w:eastAsia="微软雅黑" w:cs="微软雅黑"/>
          <w:sz w:val="22"/>
          <w:szCs w:val="24"/>
        </w:rPr>
        <w:t>：</w:t>
      </w:r>
    </w:p>
    <w:p w14:paraId="7C658D29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color w:val="0000FF"/>
          <w:sz w:val="22"/>
          <w:szCs w:val="24"/>
        </w:rPr>
        <w:t>wtdbg2+CCS</w:t>
      </w:r>
      <w:r>
        <w:rPr>
          <w:rFonts w:hint="eastAsia" w:ascii="微软雅黑" w:hAnsi="微软雅黑" w:eastAsia="微软雅黑" w:cs="微软雅黑"/>
          <w:sz w:val="22"/>
          <w:szCs w:val="24"/>
        </w:rPr>
        <w:t>覆盖度达99.94%，接近完整组装</w:t>
      </w:r>
    </w:p>
    <w:p w14:paraId="1C9EDC79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color w:val="0000FF"/>
          <w:sz w:val="22"/>
          <w:szCs w:val="24"/>
        </w:rPr>
        <w:t>hifiasm+CCS</w:t>
      </w:r>
      <w:r>
        <w:rPr>
          <w:rFonts w:hint="eastAsia" w:ascii="微软雅黑" w:hAnsi="微软雅黑" w:eastAsia="微软雅黑" w:cs="微软雅黑"/>
          <w:sz w:val="22"/>
          <w:szCs w:val="24"/>
        </w:rPr>
        <w:t>获得最完整组装，长度略超参考基因组</w:t>
      </w:r>
    </w:p>
    <w:p w14:paraId="1D393D0A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color w:val="0000FF"/>
          <w:sz w:val="22"/>
          <w:szCs w:val="24"/>
        </w:rPr>
        <w:t>wtdbg2+CLR</w:t>
      </w:r>
      <w:r>
        <w:rPr>
          <w:rFonts w:hint="eastAsia" w:ascii="微软雅黑" w:hAnsi="微软雅黑" w:eastAsia="微软雅黑" w:cs="微软雅黑"/>
          <w:sz w:val="22"/>
          <w:szCs w:val="24"/>
        </w:rPr>
        <w:t>仅覆盖约5%，组装严重不完整</w:t>
      </w:r>
    </w:p>
    <w:p w14:paraId="3DF2FADA">
      <w:pPr>
        <w:pStyle w:val="4"/>
        <w:keepNext w:val="0"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2.3 组装准确性比较</w:t>
      </w:r>
    </w:p>
    <w:p w14:paraId="758CEF1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FF0000"/>
          <w:sz w:val="22"/>
          <w:szCs w:val="24"/>
        </w:rPr>
        <w:t>关键发现：CCS数据显著降低碱基错误率</w:t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852"/>
        <w:gridCol w:w="2148"/>
        <w:gridCol w:w="2157"/>
        <w:gridCol w:w="2105"/>
      </w:tblGrid>
      <w:tr w14:paraId="661F6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1539" w:type="pct"/>
          </w:tcPr>
          <w:p w14:paraId="11B400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错误类型</w:t>
            </w:r>
          </w:p>
        </w:tc>
        <w:tc>
          <w:tcPr>
            <w:tcW w:w="1159" w:type="pct"/>
          </w:tcPr>
          <w:p w14:paraId="2A7A3B8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wtdbg2+CLR</w:t>
            </w:r>
          </w:p>
        </w:tc>
        <w:tc>
          <w:tcPr>
            <w:tcW w:w="1164" w:type="pct"/>
          </w:tcPr>
          <w:p w14:paraId="6934B99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wtdbg2+CCS</w:t>
            </w:r>
          </w:p>
        </w:tc>
        <w:tc>
          <w:tcPr>
            <w:tcW w:w="1136" w:type="pct"/>
          </w:tcPr>
          <w:p w14:paraId="3832EA6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hifiasm+CCS</w:t>
            </w:r>
          </w:p>
        </w:tc>
      </w:tr>
      <w:tr w14:paraId="1906F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39" w:type="pct"/>
          </w:tcPr>
          <w:p w14:paraId="333CCE7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错配(/100kbp)</w:t>
            </w:r>
          </w:p>
        </w:tc>
        <w:tc>
          <w:tcPr>
            <w:tcW w:w="1159" w:type="pct"/>
          </w:tcPr>
          <w:p w14:paraId="7691CAD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28"/>
                <w:szCs w:val="32"/>
              </w:rPr>
              <w:t>2,215.23</w:t>
            </w:r>
          </w:p>
        </w:tc>
        <w:tc>
          <w:tcPr>
            <w:tcW w:w="1164" w:type="pct"/>
          </w:tcPr>
          <w:p w14:paraId="1C3375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B744"/>
                <w:sz w:val="28"/>
                <w:szCs w:val="32"/>
              </w:rPr>
              <w:t>0.02</w:t>
            </w:r>
          </w:p>
        </w:tc>
        <w:tc>
          <w:tcPr>
            <w:tcW w:w="1136" w:type="pct"/>
          </w:tcPr>
          <w:p w14:paraId="58AE5E1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B744"/>
                <w:sz w:val="28"/>
                <w:szCs w:val="32"/>
              </w:rPr>
              <w:t>0.02</w:t>
            </w:r>
          </w:p>
        </w:tc>
      </w:tr>
      <w:tr w14:paraId="0D45E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39" w:type="pct"/>
          </w:tcPr>
          <w:p w14:paraId="6C0FE7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插入缺失(/100kbp)</w:t>
            </w:r>
          </w:p>
        </w:tc>
        <w:tc>
          <w:tcPr>
            <w:tcW w:w="1159" w:type="pct"/>
          </w:tcPr>
          <w:p w14:paraId="49B1984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28"/>
                <w:szCs w:val="32"/>
              </w:rPr>
              <w:t>1,927.46</w:t>
            </w:r>
          </w:p>
        </w:tc>
        <w:tc>
          <w:tcPr>
            <w:tcW w:w="1164" w:type="pct"/>
          </w:tcPr>
          <w:p w14:paraId="744F520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B744"/>
                <w:sz w:val="28"/>
                <w:szCs w:val="32"/>
              </w:rPr>
              <w:t>0.09</w:t>
            </w:r>
          </w:p>
        </w:tc>
        <w:tc>
          <w:tcPr>
            <w:tcW w:w="1136" w:type="pct"/>
          </w:tcPr>
          <w:p w14:paraId="2E3B490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B744"/>
                <w:sz w:val="28"/>
                <w:szCs w:val="32"/>
              </w:rPr>
              <w:t>0.09</w:t>
            </w:r>
          </w:p>
        </w:tc>
      </w:tr>
      <w:tr w14:paraId="7E301A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1539" w:type="pct"/>
          </w:tcPr>
          <w:p w14:paraId="5DEAEDF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总错误率(/100kbp)</w:t>
            </w:r>
          </w:p>
        </w:tc>
        <w:tc>
          <w:tcPr>
            <w:tcW w:w="1159" w:type="pct"/>
          </w:tcPr>
          <w:p w14:paraId="6A8AD54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28"/>
                <w:szCs w:val="32"/>
              </w:rPr>
              <w:t>4,142.69</w:t>
            </w:r>
          </w:p>
        </w:tc>
        <w:tc>
          <w:tcPr>
            <w:tcW w:w="1164" w:type="pct"/>
          </w:tcPr>
          <w:p w14:paraId="67B92D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B744"/>
                <w:sz w:val="28"/>
                <w:szCs w:val="32"/>
              </w:rPr>
              <w:t>0.11</w:t>
            </w:r>
          </w:p>
        </w:tc>
        <w:tc>
          <w:tcPr>
            <w:tcW w:w="1136" w:type="pct"/>
          </w:tcPr>
          <w:p w14:paraId="5893616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B744"/>
                <w:sz w:val="28"/>
                <w:szCs w:val="32"/>
              </w:rPr>
              <w:t>0.11</w:t>
            </w:r>
          </w:p>
        </w:tc>
      </w:tr>
    </w:tbl>
    <w:p w14:paraId="42846515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4"/>
        </w:rPr>
        <w:t>分析</w:t>
      </w:r>
      <w:r>
        <w:rPr>
          <w:rFonts w:hint="eastAsia" w:ascii="微软雅黑" w:hAnsi="微软雅黑" w:eastAsia="微软雅黑" w:cs="微软雅黑"/>
          <w:sz w:val="22"/>
          <w:szCs w:val="24"/>
        </w:rPr>
        <w:t>：</w:t>
      </w:r>
    </w:p>
    <w:p w14:paraId="299BE30F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color w:val="0000FF"/>
          <w:sz w:val="22"/>
          <w:szCs w:val="24"/>
        </w:rPr>
        <w:t>CCS数据</w:t>
      </w:r>
      <w:r>
        <w:rPr>
          <w:rFonts w:hint="eastAsia" w:ascii="微软雅黑" w:hAnsi="微软雅黑" w:eastAsia="微软雅黑" w:cs="微软雅黑"/>
          <w:sz w:val="22"/>
          <w:szCs w:val="24"/>
        </w:rPr>
        <w:t>将错误率降低37,000倍</w:t>
      </w:r>
    </w:p>
    <w:p w14:paraId="5F8BE7E1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两种工具在相同数据上错误率相当</w:t>
      </w:r>
    </w:p>
    <w:p w14:paraId="44BC034F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color w:val="0000FF"/>
          <w:sz w:val="22"/>
          <w:szCs w:val="24"/>
        </w:rPr>
        <w:t>CLR数据</w:t>
      </w:r>
      <w:r>
        <w:rPr>
          <w:rFonts w:hint="eastAsia" w:ascii="微软雅黑" w:hAnsi="微软雅黑" w:eastAsia="微软雅黑" w:cs="微软雅黑"/>
          <w:sz w:val="22"/>
          <w:szCs w:val="24"/>
        </w:rPr>
        <w:t>的高错误率严重影响组装准确性</w:t>
      </w:r>
    </w:p>
    <w:p w14:paraId="0773D221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2.4 计算资源消耗</w:t>
      </w:r>
    </w:p>
    <w:p w14:paraId="1E89BF4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FF0000"/>
          <w:sz w:val="22"/>
          <w:szCs w:val="24"/>
        </w:rPr>
        <w:t>关键发现：wtdbg2在保持高质量的同时显著提升计算效率</w:t>
      </w:r>
    </w:p>
    <w:tbl>
      <w:tblPr>
        <w:tblStyle w:val="11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1779"/>
        <w:gridCol w:w="2507"/>
        <w:gridCol w:w="2518"/>
        <w:gridCol w:w="2458"/>
      </w:tblGrid>
      <w:tr w14:paraId="1727A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tcPr>
            <w:tcW w:w="960" w:type="pct"/>
          </w:tcPr>
          <w:p w14:paraId="567431B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资源指标</w:t>
            </w:r>
          </w:p>
        </w:tc>
        <w:tc>
          <w:tcPr>
            <w:tcW w:w="1353" w:type="pct"/>
          </w:tcPr>
          <w:p w14:paraId="58DE66E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wtdbg2+CLR</w:t>
            </w:r>
          </w:p>
        </w:tc>
        <w:tc>
          <w:tcPr>
            <w:tcW w:w="1359" w:type="pct"/>
          </w:tcPr>
          <w:p w14:paraId="1CB4F6D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wtdbg2+CCS</w:t>
            </w:r>
          </w:p>
        </w:tc>
        <w:tc>
          <w:tcPr>
            <w:tcW w:w="1326" w:type="pct"/>
          </w:tcPr>
          <w:p w14:paraId="4C2753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hifiasm+CCS</w:t>
            </w:r>
          </w:p>
        </w:tc>
      </w:tr>
      <w:tr w14:paraId="2E4124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60" w:type="pct"/>
          </w:tcPr>
          <w:p w14:paraId="1E28DA5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运行时间</w:t>
            </w:r>
          </w:p>
        </w:tc>
        <w:tc>
          <w:tcPr>
            <w:tcW w:w="1353" w:type="pct"/>
          </w:tcPr>
          <w:p w14:paraId="2A1278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32"/>
              </w:rPr>
              <w:t>~2分钟</w:t>
            </w:r>
          </w:p>
        </w:tc>
        <w:tc>
          <w:tcPr>
            <w:tcW w:w="1359" w:type="pct"/>
          </w:tcPr>
          <w:p w14:paraId="2984482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32"/>
              </w:rPr>
              <w:t>~2分钟</w:t>
            </w:r>
          </w:p>
        </w:tc>
        <w:tc>
          <w:tcPr>
            <w:tcW w:w="1326" w:type="pct"/>
          </w:tcPr>
          <w:p w14:paraId="6BDADE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32"/>
              </w:rPr>
              <w:t>~30分钟</w:t>
            </w:r>
          </w:p>
        </w:tc>
      </w:tr>
      <w:tr w14:paraId="3BDC7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60" w:type="pct"/>
          </w:tcPr>
          <w:p w14:paraId="53C5F8C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内存需求</w:t>
            </w:r>
          </w:p>
        </w:tc>
        <w:tc>
          <w:tcPr>
            <w:tcW w:w="1353" w:type="pct"/>
          </w:tcPr>
          <w:p w14:paraId="53895DD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32"/>
              </w:rPr>
              <w:t>~8 GB</w:t>
            </w:r>
          </w:p>
        </w:tc>
        <w:tc>
          <w:tcPr>
            <w:tcW w:w="1359" w:type="pct"/>
          </w:tcPr>
          <w:p w14:paraId="08A9D94D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32"/>
              </w:rPr>
              <w:t>~8 GB</w:t>
            </w:r>
          </w:p>
        </w:tc>
        <w:tc>
          <w:tcPr>
            <w:tcW w:w="1326" w:type="pct"/>
          </w:tcPr>
          <w:p w14:paraId="5FC5F81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32"/>
              </w:rPr>
              <w:t>&gt;64 GB</w:t>
            </w:r>
          </w:p>
        </w:tc>
      </w:tr>
      <w:tr w14:paraId="47839E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tcPr>
            <w:tcW w:w="960" w:type="pct"/>
          </w:tcPr>
          <w:p w14:paraId="5049029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8"/>
                <w:szCs w:val="32"/>
              </w:rPr>
              <w:t>CPU线程</w:t>
            </w:r>
          </w:p>
        </w:tc>
        <w:tc>
          <w:tcPr>
            <w:tcW w:w="1353" w:type="pct"/>
          </w:tcPr>
          <w:p w14:paraId="15B04D4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32"/>
              </w:rPr>
              <w:t>16</w:t>
            </w:r>
          </w:p>
        </w:tc>
        <w:tc>
          <w:tcPr>
            <w:tcW w:w="1359" w:type="pct"/>
          </w:tcPr>
          <w:p w14:paraId="62546D4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32"/>
              </w:rPr>
              <w:t>16</w:t>
            </w:r>
          </w:p>
        </w:tc>
        <w:tc>
          <w:tcPr>
            <w:tcW w:w="1326" w:type="pct"/>
          </w:tcPr>
          <w:p w14:paraId="60F87A8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8"/>
                <w:szCs w:val="32"/>
              </w:rPr>
            </w:pPr>
            <w:r>
              <w:rPr>
                <w:rFonts w:hint="eastAsia" w:ascii="微软雅黑" w:hAnsi="微软雅黑" w:eastAsia="微软雅黑" w:cs="微软雅黑"/>
                <w:sz w:val="28"/>
                <w:szCs w:val="32"/>
              </w:rPr>
              <w:t>16</w:t>
            </w:r>
          </w:p>
        </w:tc>
      </w:tr>
    </w:tbl>
    <w:p w14:paraId="0C56B4F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4"/>
        </w:rPr>
        <w:t>分析</w:t>
      </w:r>
      <w:r>
        <w:rPr>
          <w:rFonts w:hint="eastAsia" w:ascii="微软雅黑" w:hAnsi="微软雅黑" w:eastAsia="微软雅黑" w:cs="微软雅黑"/>
          <w:sz w:val="22"/>
          <w:szCs w:val="24"/>
        </w:rPr>
        <w:t>：</w:t>
      </w:r>
    </w:p>
    <w:p w14:paraId="19B0A3B1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color w:val="0000FF"/>
          <w:sz w:val="22"/>
          <w:szCs w:val="24"/>
        </w:rPr>
        <w:t>wtdbg2</w:t>
      </w:r>
      <w:r>
        <w:rPr>
          <w:rFonts w:hint="eastAsia" w:ascii="微软雅黑" w:hAnsi="微软雅黑" w:eastAsia="微软雅黑" w:cs="微软雅黑"/>
          <w:sz w:val="22"/>
          <w:szCs w:val="24"/>
        </w:rPr>
        <w:t>计算效率显著优于hifiasm</w:t>
      </w:r>
    </w:p>
    <w:p w14:paraId="0AC776F3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相同工具不同数据资源消耗相当</w:t>
      </w:r>
    </w:p>
    <w:p w14:paraId="57EA73F1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color w:val="0000FF"/>
          <w:sz w:val="22"/>
          <w:szCs w:val="24"/>
        </w:rPr>
        <w:t>hifiasm</w:t>
      </w:r>
      <w:r>
        <w:rPr>
          <w:rFonts w:hint="eastAsia" w:ascii="微软雅黑" w:hAnsi="微软雅黑" w:eastAsia="微软雅黑" w:cs="微软雅黑"/>
          <w:sz w:val="22"/>
          <w:szCs w:val="24"/>
        </w:rPr>
        <w:t>的高资源需求限制其应用场景</w:t>
      </w:r>
    </w:p>
    <w:p w14:paraId="728F27B0">
      <w:pPr>
        <w:keepNext w:val="0"/>
        <w:keepLines w:val="0"/>
        <w:pageBreakBefore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</w:p>
    <w:p w14:paraId="16C6A821">
      <w:pPr>
        <w:pStyle w:val="3"/>
        <w:keepNext w:val="0"/>
        <w:keepLines w:val="0"/>
        <w:pageBreakBefore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rFonts w:hint="eastAsia" w:ascii="微软雅黑" w:hAnsi="微软雅黑" w:eastAsia="微软雅黑" w:cs="微软雅黑"/>
          <w:sz w:val="40"/>
          <w:szCs w:val="40"/>
        </w:rPr>
      </w:pPr>
      <w:r>
        <w:rPr>
          <w:rFonts w:hint="eastAsia" w:ascii="微软雅黑" w:hAnsi="微软雅黑" w:eastAsia="微软雅黑" w:cs="微软雅黑"/>
          <w:sz w:val="40"/>
          <w:szCs w:val="40"/>
        </w:rPr>
        <w:t>3. 关键参数与命令</w:t>
      </w:r>
    </w:p>
    <w:p w14:paraId="37DF1999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3.1 成功组装的关键参数</w:t>
      </w:r>
    </w:p>
    <w:p w14:paraId="33D68BC4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8"/>
          <w:szCs w:val="28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yellow"/>
        </w:rPr>
        <w:t>wtdbg2 CLR组装
</w:t>
      </w:r>
    </w:p>
    <w:p w14:paraId="6EA42C6C">
      <w:pPr>
        <w:keepNext w:val="0"/>
        <w:keepLines w:val="0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4"/>
          <w:szCs w:val="28"/>
          <w:highlight w:val="yellow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273040" cy="166116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0C07A">
      <w:pPr>
        <w:keepNext w:val="0"/>
        <w:keepLines w:val="0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8"/>
          <w:szCs w:val="32"/>
          <w:shd w:val="clear" w:color="FFFFFF" w:fill="D9D9D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  <w:shd w:val="clear" w:color="FFFFFF" w:fill="D9D9D9"/>
        </w:rPr>
        <w:t>wtdbg2 -x rs -i CLR.fastq -o clr_wtdbg -t 16
</w:t>
      </w:r>
    </w:p>
    <w:p w14:paraId="58C42106">
      <w:pPr>
        <w:keepNext w:val="0"/>
        <w:keepLines w:val="0"/>
        <w:pageBreakBefore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2"/>
          <w:szCs w:val="22"/>
          <w:highlight w:val="yellow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yellow"/>
        </w:rPr>
        <w:t>wtdbg2 CCS组装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highlight w:val="yellow"/>
        </w:rPr>
        <w:t>
</w:t>
      </w:r>
    </w:p>
    <w:p w14:paraId="7C956387">
      <w:pPr>
        <w:keepNext w:val="0"/>
        <w:keepLines w:val="0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2"/>
          <w:szCs w:val="22"/>
          <w:highlight w:val="yellow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516880" cy="3299460"/>
            <wp:effectExtent l="0" t="0" r="0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1688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9D245">
      <w:pPr>
        <w:keepNext w:val="0"/>
        <w:keepLines w:val="0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  <w:shd w:val="clear" w:color="FFFFFF" w:fill="D9D9D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  <w:shd w:val="clear" w:color="FFFFFF" w:fill="D9D9D9"/>
        </w:rPr>
        <w:t>wtdbg2 -x ccs -g 4.6m -t 16 -i CCS.fastq -fo ccs_wtdbg_corrected
</w:t>
      </w:r>
    </w:p>
    <w:p w14:paraId="6F147852">
      <w:pPr>
        <w:keepNext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42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2"/>
          <w:szCs w:val="22"/>
          <w:highlight w:val="yellow"/>
          <w:shd w:val="clear" w:color="FFFFFF" w:fill="D9D9D9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highlight w:val="yellow"/>
        </w:rPr>
        <w:t>hifiasm CCS组装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  <w:highlight w:val="yellow"/>
        </w:rPr>
        <w:t>
</w:t>
      </w:r>
    </w:p>
    <w:p w14:paraId="3D2A7ECC">
      <w:pPr>
        <w:keepNext w:val="0"/>
        <w:keepLines w:val="0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/>
          <w:bCs/>
          <w:sz w:val="22"/>
          <w:szCs w:val="22"/>
          <w:highlight w:val="yellow"/>
          <w:shd w:val="clear" w:color="FFFFFF" w:fill="D9D9D9"/>
        </w:rPr>
      </w:pPr>
      <w:r>
        <w:rPr>
          <w:rFonts w:hint="eastAsia" w:ascii="微软雅黑" w:hAnsi="微软雅黑" w:eastAsia="微软雅黑" w:cs="微软雅黑"/>
          <w:shd w:val="clear" w:color="FFFFFF" w:fill="D9D9D9"/>
        </w:rPr>
        <w:drawing>
          <wp:inline distT="0" distB="0" distL="114300" distR="114300">
            <wp:extent cx="5727065" cy="2338705"/>
            <wp:effectExtent l="0" t="0" r="3175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7065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00398">
      <w:pPr>
        <w:keepNext w:val="0"/>
        <w:keepLines w:val="0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ind w:left="840" w:leftChars="0" w:hanging="420" w:firstLineChars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  <w:shd w:val="clear" w:color="FFFFFF" w:fill="D9D9D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sz w:val="24"/>
          <w:szCs w:val="24"/>
          <w:shd w:val="clear" w:color="FFFFFF" w:fill="D9D9D9"/>
        </w:rPr>
        <w:t>hifiasm -t 16 -o ccs_hifiasm CCS.fastq</w:t>
      </w:r>
    </w:p>
    <w:p w14:paraId="3C1B4C8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color w:val="FF0000"/>
          <w:sz w:val="22"/>
          <w:szCs w:val="24"/>
        </w:rPr>
        <w:t>重要：-x ccs参数的正确使用是wtdbg2成功组装CCS数据的关键</w:t>
      </w:r>
    </w:p>
    <w:p w14:paraId="58814C33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3.2 参数敏感性分析</w:t>
      </w:r>
    </w:p>
    <w:tbl>
      <w:tblPr>
        <w:tblStyle w:val="1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80" w:type="dxa"/>
          <w:left w:w="120" w:type="dxa"/>
          <w:bottom w:w="80" w:type="dxa"/>
          <w:right w:w="120" w:type="dxa"/>
        </w:tblCellMar>
      </w:tblPr>
      <w:tblGrid>
        <w:gridCol w:w="2317"/>
        <w:gridCol w:w="2317"/>
        <w:gridCol w:w="2317"/>
        <w:gridCol w:w="2317"/>
      </w:tblGrid>
      <w:tr w14:paraId="5D3D3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rPr>
          <w:tblHeader/>
        </w:trPr>
        <w:tc>
          <w:p w14:paraId="15E16A3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参数</w:t>
            </w:r>
          </w:p>
        </w:tc>
        <w:tc>
          <w:p w14:paraId="5F13A8A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正确值</w:t>
            </w:r>
          </w:p>
        </w:tc>
        <w:tc>
          <w:p w14:paraId="35BDC26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错误值</w:t>
            </w:r>
          </w:p>
        </w:tc>
        <w:tc>
          <w:p w14:paraId="2360E09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影响程度</w:t>
            </w:r>
          </w:p>
        </w:tc>
      </w:tr>
      <w:tr w14:paraId="593781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04D6CE8A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平台类型(-x)</w:t>
            </w:r>
          </w:p>
        </w:tc>
        <w:tc>
          <w:p w14:paraId="6EBED7F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ccs</w:t>
            </w:r>
          </w:p>
        </w:tc>
        <w:tc>
          <w:p w14:paraId="30140A5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css</w:t>
            </w:r>
          </w:p>
        </w:tc>
        <w:tc>
          <w:p w14:paraId="3DC8B6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FF0000"/>
                <w:sz w:val="22"/>
                <w:szCs w:val="24"/>
              </w:rPr>
              <w:t>关键性</w:t>
            </w:r>
          </w:p>
        </w:tc>
      </w:tr>
      <w:tr w14:paraId="61E49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75C49D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基因组大小(-g)</w:t>
            </w:r>
          </w:p>
        </w:tc>
        <w:tc>
          <w:p w14:paraId="588837B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4.6m</w:t>
            </w:r>
          </w:p>
        </w:tc>
        <w:tc>
          <w:p w14:paraId="699373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未设置</w:t>
            </w:r>
          </w:p>
        </w:tc>
        <w:tc>
          <w:p w14:paraId="655B9C5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E46C0A" w:themeColor="accent6" w:themeShade="BF"/>
                <w:sz w:val="22"/>
                <w:szCs w:val="24"/>
              </w:rPr>
              <w:t>重要</w:t>
            </w:r>
          </w:p>
        </w:tc>
      </w:tr>
      <w:tr w14:paraId="02C8C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80" w:type="dxa"/>
            <w:left w:w="120" w:type="dxa"/>
            <w:bottom w:w="80" w:type="dxa"/>
            <w:right w:w="120" w:type="dxa"/>
          </w:tblCellMar>
        </w:tblPrEx>
        <w:tc>
          <w:p w14:paraId="23EFCAC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sz w:val="22"/>
                <w:szCs w:val="24"/>
              </w:rPr>
              <w:t>线程数(-t)</w:t>
            </w:r>
          </w:p>
        </w:tc>
        <w:tc>
          <w:p w14:paraId="134653E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16</w:t>
            </w:r>
          </w:p>
        </w:tc>
        <w:tc>
          <w:p w14:paraId="7981CA8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4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4"/>
              </w:rPr>
              <w:t>默认值</w:t>
            </w:r>
          </w:p>
        </w:tc>
        <w:tc>
          <w:p w14:paraId="6E95F0D9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sz w:val="22"/>
                <w:szCs w:val="24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color w:val="17B744"/>
                <w:sz w:val="22"/>
                <w:szCs w:val="24"/>
              </w:rPr>
              <w:t>中等</w:t>
            </w:r>
          </w:p>
        </w:tc>
      </w:tr>
    </w:tbl>
    <w:p w14:paraId="462DF1D8">
      <w:pPr>
        <w:keepNext w:val="0"/>
        <w:keepLines w:val="0"/>
        <w:pageBreakBefore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</w:p>
    <w:p w14:paraId="43A331BB">
      <w:pPr>
        <w:pStyle w:val="3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rFonts w:hint="eastAsia" w:ascii="微软雅黑" w:hAnsi="微软雅黑" w:eastAsia="微软雅黑" w:cs="微软雅黑"/>
          <w:sz w:val="40"/>
          <w:szCs w:val="40"/>
        </w:rPr>
      </w:pPr>
      <w:r>
        <w:rPr>
          <w:rFonts w:hint="eastAsia" w:ascii="微软雅黑" w:hAnsi="微软雅黑" w:eastAsia="微软雅黑" w:cs="微软雅黑"/>
          <w:sz w:val="40"/>
          <w:szCs w:val="40"/>
        </w:rPr>
        <w:t>4. 讨论与结论</w:t>
      </w:r>
    </w:p>
    <w:p w14:paraId="10890DC0">
      <w:pPr>
        <w:pStyle w:val="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200" w:line="240" w:lineRule="auto"/>
        <w:jc w:val="left"/>
        <w:textAlignment w:val="auto"/>
        <w:rPr>
          <w:rFonts w:hint="eastAsia" w:ascii="微软雅黑" w:hAnsi="微软雅黑" w:eastAsia="微软雅黑" w:cs="微软雅黑"/>
          <w:sz w:val="36"/>
          <w:szCs w:val="36"/>
        </w:rPr>
      </w:pPr>
      <w:r>
        <w:rPr>
          <w:rFonts w:hint="eastAsia" w:ascii="微软雅黑" w:hAnsi="微软雅黑" w:eastAsia="微软雅黑" w:cs="微软雅黑"/>
          <w:sz w:val="36"/>
          <w:szCs w:val="36"/>
        </w:rPr>
        <w:t>4.1 主要发现</w:t>
      </w:r>
    </w:p>
    <w:p w14:paraId="74DE923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2"/>
          <w:szCs w:val="24"/>
        </w:rPr>
        <w:t>1. 数据质量的决定性作用</w:t>
      </w:r>
    </w:p>
    <w:p w14:paraId="2928337F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CCS数据使wtdbg2从失败（4.19%覆盖度）变为优秀（99.94%覆盖度）</w:t>
      </w:r>
    </w:p>
    <w:p w14:paraId="216A74BD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数据质量提升对组装效果的改善远大于算法优化</w:t>
      </w:r>
    </w:p>
    <w:p w14:paraId="5657464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2"/>
          <w:szCs w:val="24"/>
        </w:rPr>
        <w:t>2. 工具选择的实用性考量</w:t>
      </w:r>
    </w:p>
    <w:p w14:paraId="17675A84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4"/>
        </w:rPr>
        <w:t>研究场景</w:t>
      </w:r>
      <w:r>
        <w:rPr>
          <w:rFonts w:hint="eastAsia" w:ascii="微软雅黑" w:hAnsi="微软雅黑" w:eastAsia="微软雅黑" w:cs="微软雅黑"/>
          <w:sz w:val="22"/>
          <w:szCs w:val="24"/>
        </w:rPr>
        <w:t>：hifiasm+CCS（最优质量，可接受高资源消耗）</w:t>
      </w:r>
    </w:p>
    <w:p w14:paraId="0F5ED3CA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4"/>
        </w:rPr>
        <w:t>临床诊断</w:t>
      </w:r>
      <w:r>
        <w:rPr>
          <w:rFonts w:hint="eastAsia" w:ascii="微软雅黑" w:hAnsi="微软雅黑" w:eastAsia="微软雅黑" w:cs="微软雅黑"/>
          <w:sz w:val="22"/>
          <w:szCs w:val="24"/>
        </w:rPr>
        <w:t>：wtdbg2+CCS（快速准确，资源需求合理）</w:t>
      </w:r>
    </w:p>
    <w:p w14:paraId="2B701E31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4"/>
        </w:rPr>
        <w:t>初步分析</w:t>
      </w:r>
      <w:r>
        <w:rPr>
          <w:rFonts w:hint="eastAsia" w:ascii="微软雅黑" w:hAnsi="微软雅黑" w:eastAsia="微软雅黑" w:cs="微软雅黑"/>
          <w:sz w:val="22"/>
          <w:szCs w:val="24"/>
        </w:rPr>
        <w:t>：wtdbg2+CLR（快速经济，接受碎片化结果）</w:t>
      </w:r>
    </w:p>
    <w:p w14:paraId="21F4F380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FF"/>
          <w:sz w:val="22"/>
          <w:szCs w:val="24"/>
        </w:rPr>
        <w:t>3. 参数调试的重要性</w:t>
      </w:r>
    </w:p>
    <w:p w14:paraId="3B748594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微小参数差异（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FFFFFF" w:fill="D9D9D9"/>
        </w:rPr>
        <w:t xml:space="preserve">`-x ccs` </w:t>
      </w:r>
      <w:r>
        <w:rPr>
          <w:rFonts w:hint="eastAsia" w:ascii="微软雅黑" w:hAnsi="微软雅黑" w:eastAsia="微软雅黑" w:cs="微软雅黑"/>
          <w:sz w:val="22"/>
          <w:szCs w:val="24"/>
        </w:rPr>
        <w:t>vs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auto" w:fill="auto"/>
        </w:rPr>
        <w:t xml:space="preserve"> </w:t>
      </w:r>
      <w:r>
        <w:rPr>
          <w:rFonts w:hint="eastAsia" w:ascii="微软雅黑" w:hAnsi="微软雅黑" w:eastAsia="微软雅黑" w:cs="微软雅黑"/>
          <w:sz w:val="22"/>
          <w:szCs w:val="24"/>
          <w:shd w:val="clear" w:color="FFFFFF" w:fill="D9D9D9"/>
        </w:rPr>
        <w:t>`-x css`</w:t>
      </w:r>
      <w:r>
        <w:rPr>
          <w:rFonts w:hint="eastAsia" w:ascii="微软雅黑" w:hAnsi="微软雅黑" w:eastAsia="微软雅黑" w:cs="微软雅黑"/>
          <w:sz w:val="22"/>
          <w:szCs w:val="24"/>
        </w:rPr>
        <w:t>）导致截然不同的结果</w:t>
      </w:r>
    </w:p>
    <w:p w14:paraId="02C288A5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</w:rPr>
        <w:t>工具文档理解和参数验证是成功的关键步骤</w:t>
      </w:r>
    </w:p>
    <w:p w14:paraId="0AA47424">
      <w:pPr>
        <w:keepNext w:val="0"/>
        <w:keepLines w:val="0"/>
        <w:pageBreakBefore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</w:p>
    <w:p w14:paraId="6FBA5AF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4"/>
        </w:rPr>
        <w:t>原始数据文件验证</w:t>
      </w:r>
      <w:r>
        <w:rPr>
          <w:rFonts w:hint="eastAsia" w:ascii="微软雅黑" w:hAnsi="微软雅黑" w:eastAsia="微软雅黑" w:cs="微软雅黑"/>
          <w:sz w:val="22"/>
          <w:szCs w:val="24"/>
        </w:rPr>
        <w:t>：</w:t>
      </w:r>
      <w:bookmarkStart w:id="0" w:name="_GoBack"/>
      <w:bookmarkEnd w:id="0"/>
    </w:p>
    <w:p w14:paraId="48E51A5A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FFFFFF" w:fill="D9D9D9"/>
        </w:rPr>
        <w:t>`clr_wtdbg.ctg.fasta`</w:t>
      </w:r>
      <w:r>
        <w:rPr>
          <w:rFonts w:hint="eastAsia" w:ascii="微软雅黑" w:hAnsi="微软雅黑" w:eastAsia="微软雅黑" w:cs="微软雅黑"/>
          <w:sz w:val="22"/>
          <w:szCs w:val="24"/>
        </w:rPr>
        <w:t>：1.5 MB, 166 contigs</w:t>
      </w:r>
    </w:p>
    <w:p w14:paraId="588EA49D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FFFFFF" w:fill="D9D9D9"/>
        </w:rPr>
        <w:t>`ccs_wtdbg_corrected.ctg.fa`</w:t>
      </w:r>
      <w:r>
        <w:rPr>
          <w:rFonts w:hint="eastAsia" w:ascii="微软雅黑" w:hAnsi="微软雅黑" w:eastAsia="微软雅黑" w:cs="微软雅黑"/>
          <w:sz w:val="22"/>
          <w:szCs w:val="24"/>
        </w:rPr>
        <w:t xml:space="preserve">：4.5 MB, 1 contig  </w:t>
      </w:r>
    </w:p>
    <w:p w14:paraId="47F8E577">
      <w:pPr>
        <w:pStyle w:val="15"/>
        <w:keepNext w:val="0"/>
        <w:keepLines w:val="0"/>
        <w:pageBreakBefore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  <w:sz w:val="22"/>
          <w:szCs w:val="24"/>
          <w:shd w:val="clear" w:color="FFFFFF" w:fill="D9D9D9"/>
        </w:rPr>
        <w:t>`ccs_hifiasm_high_mem_contig.fasta`</w:t>
      </w:r>
      <w:r>
        <w:rPr>
          <w:rFonts w:hint="eastAsia" w:ascii="微软雅黑" w:hAnsi="微软雅黑" w:eastAsia="微软雅黑" w:cs="微软雅黑"/>
          <w:sz w:val="22"/>
          <w:szCs w:val="24"/>
        </w:rPr>
        <w:t>：4.5 MB, 1 contig</w:t>
      </w:r>
    </w:p>
    <w:p w14:paraId="7D678A96">
      <w:pPr>
        <w:keepNext w:val="0"/>
        <w:keepLines w:val="0"/>
        <w:pageBreakBefore w:val="0"/>
        <w:pBdr>
          <w:bottom w:val="single" w:color="auto" w:sz="6" w:space="1"/>
        </w:pBdr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  <w:r>
        <w:rPr>
          <w:rFonts w:hint="eastAsia" w:ascii="微软雅黑" w:hAnsi="微软雅黑" w:eastAsia="微软雅黑" w:cs="微软雅黑"/>
        </w:rPr>
        <w:drawing>
          <wp:inline distT="0" distB="0" distL="114300" distR="114300">
            <wp:extent cx="5728970" cy="2662555"/>
            <wp:effectExtent l="0" t="0" r="127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8970" cy="266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87BA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left"/>
        <w:textAlignment w:val="auto"/>
        <w:rPr>
          <w:rFonts w:hint="eastAsia" w:ascii="微软雅黑" w:hAnsi="微软雅黑" w:eastAsia="微软雅黑" w:cs="微软雅黑"/>
          <w:sz w:val="22"/>
          <w:szCs w:val="24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1E0479CC"/>
    <w:multiLevelType w:val="singleLevel"/>
    <w:tmpl w:val="1E0479C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CFDA970"/>
    <w:multiLevelType w:val="multilevel"/>
    <w:tmpl w:val="4CFDA970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num w:numId="1">
    <w:abstractNumId w:val="0"/>
    <w:lvlOverride w:ilvl="0">
      <w:startOverride w:val="1"/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22E53CCF"/>
    <w:rsid w:val="29986A89"/>
    <w:rsid w:val="53192687"/>
    <w:rsid w:val="5C6C2D7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sz w:val="21"/>
      <w:szCs w:val="22"/>
    </w:rPr>
  </w:style>
  <w:style w:type="paragraph" w:styleId="2">
    <w:name w:val="heading 1"/>
    <w:next w:val="1"/>
    <w:qFormat/>
    <w:uiPriority w:val="0"/>
    <w:rPr>
      <w:rFonts w:ascii="Times New Roman" w:hAnsi="Times New Roman" w:eastAsia="宋体" w:cs="Times New Roman"/>
      <w:b/>
      <w:bCs/>
      <w:color w:val="000000"/>
      <w:sz w:val="40"/>
      <w:szCs w:val="40"/>
    </w:rPr>
  </w:style>
  <w:style w:type="paragraph" w:styleId="3">
    <w:name w:val="heading 2"/>
    <w:next w:val="1"/>
    <w:qFormat/>
    <w:uiPriority w:val="0"/>
    <w:rPr>
      <w:rFonts w:ascii="Times New Roman" w:hAnsi="Times New Roman" w:eastAsia="宋体" w:cs="Times New Roman"/>
      <w:b/>
      <w:bCs/>
      <w:color w:val="000000"/>
      <w:sz w:val="36"/>
      <w:szCs w:val="36"/>
    </w:rPr>
  </w:style>
  <w:style w:type="paragraph" w:styleId="4">
    <w:name w:val="heading 3"/>
    <w:next w:val="1"/>
    <w:qFormat/>
    <w:uiPriority w:val="0"/>
    <w:rPr>
      <w:rFonts w:ascii="Times New Roman" w:hAnsi="Times New Roman" w:eastAsia="宋体" w:cs="Times New Roman"/>
      <w:b/>
      <w:bCs/>
      <w:color w:val="000000"/>
      <w:sz w:val="32"/>
      <w:szCs w:val="32"/>
    </w:rPr>
  </w:style>
  <w:style w:type="paragraph" w:styleId="5">
    <w:name w:val="heading 4"/>
    <w:next w:val="1"/>
    <w:qFormat/>
    <w:uiPriority w:val="0"/>
    <w:rPr>
      <w:rFonts w:ascii="Times New Roman" w:hAnsi="Times New Roman" w:eastAsia="宋体" w:cs="Times New Roman"/>
      <w:b/>
      <w:bCs/>
      <w:color w:val="000000"/>
      <w:sz w:val="28"/>
      <w:szCs w:val="28"/>
    </w:rPr>
  </w:style>
  <w:style w:type="paragraph" w:styleId="6">
    <w:name w:val="heading 5"/>
    <w:next w:val="1"/>
    <w:qFormat/>
    <w:uiPriority w:val="0"/>
    <w:rPr>
      <w:rFonts w:ascii="Times New Roman" w:hAnsi="Times New Roman" w:eastAsia="宋体" w:cs="Times New Roman"/>
      <w:b/>
      <w:bCs/>
      <w:color w:val="000000"/>
      <w:sz w:val="24"/>
      <w:szCs w:val="24"/>
    </w:rPr>
  </w:style>
  <w:style w:type="paragraph" w:styleId="7">
    <w:name w:val="heading 6"/>
    <w:next w:val="1"/>
    <w:qFormat/>
    <w:uiPriority w:val="0"/>
    <w:rPr>
      <w:rFonts w:ascii="Times New Roman" w:hAnsi="Times New Roman" w:eastAsia="宋体" w:cs="Times New Roman"/>
      <w:b/>
      <w:bCs/>
      <w:color w:val="000000"/>
      <w:sz w:val="20"/>
      <w:szCs w:val="20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6"/>
    <w:semiHidden/>
    <w:unhideWhenUsed/>
    <w:qFormat/>
    <w:uiPriority w:val="99"/>
    <w:pPr>
      <w:spacing w:after="0" w:line="240" w:lineRule="auto"/>
    </w:pPr>
    <w:rPr>
      <w:rFonts w:ascii="Times New Roman" w:hAnsi="Times New Roman" w:eastAsia="宋体" w:cs="Times New Roman"/>
      <w:sz w:val="20"/>
      <w:szCs w:val="20"/>
    </w:rPr>
  </w:style>
  <w:style w:type="paragraph" w:styleId="9">
    <w:name w:val="Normal (Web)"/>
    <w:basedOn w:val="1"/>
    <w:uiPriority w:val="0"/>
    <w:rPr>
      <w:sz w:val="24"/>
    </w:rPr>
  </w:style>
  <w:style w:type="paragraph" w:styleId="10">
    <w:name w:val="Title"/>
    <w:qFormat/>
    <w:uiPriority w:val="0"/>
    <w:rPr>
      <w:rFonts w:ascii="Times New Roman" w:hAnsi="Times New Roman" w:eastAsia="宋体" w:cs="Times New Roman"/>
      <w:sz w:val="56"/>
      <w:szCs w:val="56"/>
    </w:rPr>
  </w:style>
  <w:style w:type="character" w:styleId="13">
    <w:name w:val="Hyperlink"/>
    <w:unhideWhenUsed/>
    <w:uiPriority w:val="99"/>
    <w:rPr>
      <w:color w:val="0563C1"/>
      <w:u w:val="single"/>
    </w:rPr>
  </w:style>
  <w:style w:type="character" w:styleId="14">
    <w:name w:val="footnote reference"/>
    <w:semiHidden/>
    <w:unhideWhenUsed/>
    <w:uiPriority w:val="99"/>
    <w:rPr>
      <w:vertAlign w:val="superscript"/>
    </w:rPr>
  </w:style>
  <w:style w:type="paragraph" w:styleId="15">
    <w:name w:val="List Paragraph"/>
    <w:qFormat/>
    <w:uiPriority w:val="0"/>
    <w:rPr>
      <w:rFonts w:ascii="Times New Roman" w:hAnsi="Times New Roman" w:eastAsia="宋体" w:cs="Times New Roman"/>
      <w:sz w:val="21"/>
      <w:szCs w:val="22"/>
    </w:rPr>
  </w:style>
  <w:style w:type="character" w:customStyle="1" w:styleId="16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1090</Words>
  <Characters>1942</Characters>
  <TotalTime>51</TotalTime>
  <ScaleCrop>false</ScaleCrop>
  <LinksUpToDate>false</LinksUpToDate>
  <CharactersWithSpaces>2047</CharactersWithSpaces>
  <Application>WPS Office_12.1.0.20305_F1E327BC-269C-435d-A152-05C5408002CA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2025-11-06T10:07:00Z</dcterms:created>
  <dc:creator>Un-named</dc:creator>
  <cp:lastModifiedBy>仏系少女</cp:lastModifiedBy>
  <dcterms:modified xsi:type="dcterms:W3CDTF">2025-11-06T11:07:12Z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eyJoZGlkIjoiMzU4ZGZmMWU5MzBiNTExODQ5ZDVhZDA5ZmIwMzJiZjYiLCJ1c2VySWQiOiI0MjQwMzc4MzkifQ==</vt:lpwstr>
  </property>
  <property fmtid="{D5CDD505-2E9C-101B-9397-08002B2CF9AE}" pid="3" name="KSOProductBuildVer">
    <vt:lpwstr>2052-12.1.0.20305</vt:lpwstr>
  </property>
  <property fmtid="{D5CDD505-2E9C-101B-9397-08002B2CF9AE}" pid="4" name="ICV">
    <vt:lpwstr>FBF088B49D254E68A9C34FE1BD8AA9E7_12</vt:lpwstr>
  </property>
</Properties>
</file>