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9B3AC">
      <w:pPr>
        <w:pStyle w:val="2"/>
        <w:spacing w:after="2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基因组注释实验分析报告</w:t>
      </w:r>
    </w:p>
    <w:p w14:paraId="245A508C">
      <w:pPr>
        <w:pStyle w:val="3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执行摘要</w:t>
      </w:r>
    </w:p>
    <w:p w14:paraId="5BDF00E8">
      <w:pPr>
        <w:spacing w:after="1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本实验成功建立了真核生物和原核生物的基因组注释流程，完成了从重复序列屏蔽到基因完整性评估的全套分析。</w:t>
      </w:r>
      <w:r>
        <w:rPr>
          <w:rFonts w:hint="eastAsia" w:ascii="微软雅黑" w:hAnsi="微软雅黑" w:eastAsia="微软雅黑" w:cs="微软雅黑"/>
          <w:color w:val="F20000"/>
        </w:rPr>
        <w:t>关键问题在于拟南芥基因预测的BUSCO完整率仅为15.2%，显著低于预期标准，表明当前注释质量存在严重不足。</w:t>
      </w:r>
      <w:r>
        <w:rPr>
          <w:rFonts w:hint="eastAsia" w:ascii="微软雅黑" w:hAnsi="微软雅黑" w:eastAsia="微软雅黑" w:cs="微软雅黑"/>
          <w:color w:val="00742E"/>
        </w:rPr>
        <w:t>大肠杆菌注释结果相对可靠，基因数量和结构符合生物学预期。</w:t>
      </w:r>
    </w:p>
    <w:p w14:paraId="2C6CFF82">
      <w:pPr>
        <w:pStyle w:val="3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实验设计与执行</w:t>
      </w:r>
    </w:p>
    <w:p w14:paraId="57DB114A">
      <w:pPr>
        <w:pStyle w:val="4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技术环境配置</w:t>
      </w:r>
    </w:p>
    <w:p w14:paraId="6B0899DF">
      <w:pPr>
        <w:spacing w:after="1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实验环境基于Linux服务器系统，采用Conda进行软件管理，确保工具版本一致性和环境隔离。</w:t>
      </w:r>
    </w:p>
    <w:p w14:paraId="6801D734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软件工具配置表：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33"/>
        <w:gridCol w:w="2482"/>
        <w:gridCol w:w="1597"/>
        <w:gridCol w:w="4090"/>
      </w:tblGrid>
      <w:tr w14:paraId="3856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83" w:type="pct"/>
            <w:vAlign w:val="center"/>
          </w:tcPr>
          <w:p w14:paraId="7B28720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工具类别</w:t>
            </w:r>
          </w:p>
        </w:tc>
        <w:tc>
          <w:tcPr>
            <w:tcW w:w="1159" w:type="pct"/>
            <w:vAlign w:val="center"/>
          </w:tcPr>
          <w:p w14:paraId="3143012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软件名称</w:t>
            </w:r>
          </w:p>
        </w:tc>
        <w:tc>
          <w:tcPr>
            <w:tcW w:w="746" w:type="pct"/>
            <w:vAlign w:val="center"/>
          </w:tcPr>
          <w:p w14:paraId="3C3BFDB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版本号</w:t>
            </w:r>
          </w:p>
        </w:tc>
        <w:tc>
          <w:tcPr>
            <w:tcW w:w="1910" w:type="pct"/>
            <w:vAlign w:val="center"/>
          </w:tcPr>
          <w:p w14:paraId="02C622D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主要功能</w:t>
            </w:r>
          </w:p>
        </w:tc>
      </w:tr>
      <w:tr w14:paraId="4B64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  <w:vAlign w:val="center"/>
          </w:tcPr>
          <w:p w14:paraId="6909EDA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重复序列处理</w:t>
            </w:r>
          </w:p>
        </w:tc>
        <w:tc>
          <w:tcPr>
            <w:tcW w:w="1159" w:type="pct"/>
            <w:vAlign w:val="center"/>
          </w:tcPr>
          <w:p w14:paraId="47A9FAD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RepeatMasker</w:t>
            </w:r>
          </w:p>
        </w:tc>
        <w:tc>
          <w:tcPr>
            <w:tcW w:w="746" w:type="pct"/>
            <w:vAlign w:val="center"/>
          </w:tcPr>
          <w:p w14:paraId="4441652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4.2.1</w:t>
            </w:r>
          </w:p>
        </w:tc>
        <w:tc>
          <w:tcPr>
            <w:tcW w:w="1910" w:type="pct"/>
            <w:vAlign w:val="center"/>
          </w:tcPr>
          <w:p w14:paraId="4796E3A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基因组重复序列识别与屏蔽</w:t>
            </w:r>
          </w:p>
        </w:tc>
      </w:tr>
      <w:tr w14:paraId="5462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  <w:vAlign w:val="center"/>
          </w:tcPr>
          <w:p w14:paraId="02D2426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基因结构预测</w:t>
            </w:r>
          </w:p>
        </w:tc>
        <w:tc>
          <w:tcPr>
            <w:tcW w:w="1159" w:type="pct"/>
            <w:vAlign w:val="center"/>
          </w:tcPr>
          <w:p w14:paraId="035FCAC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Augustus</w:t>
            </w:r>
          </w:p>
        </w:tc>
        <w:tc>
          <w:tcPr>
            <w:tcW w:w="746" w:type="pct"/>
            <w:vAlign w:val="center"/>
          </w:tcPr>
          <w:p w14:paraId="4D34602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3.5.0</w:t>
            </w:r>
          </w:p>
        </w:tc>
        <w:tc>
          <w:tcPr>
            <w:tcW w:w="1910" w:type="pct"/>
            <w:vAlign w:val="center"/>
          </w:tcPr>
          <w:p w14:paraId="446D6FA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真核生物基因结构预测</w:t>
            </w:r>
          </w:p>
        </w:tc>
      </w:tr>
      <w:tr w14:paraId="044F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  <w:vAlign w:val="center"/>
          </w:tcPr>
          <w:p w14:paraId="7A47CD5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完整性评估</w:t>
            </w:r>
          </w:p>
        </w:tc>
        <w:tc>
          <w:tcPr>
            <w:tcW w:w="1159" w:type="pct"/>
            <w:vAlign w:val="center"/>
          </w:tcPr>
          <w:p w14:paraId="27870B0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BUSCO</w:t>
            </w:r>
          </w:p>
        </w:tc>
        <w:tc>
          <w:tcPr>
            <w:tcW w:w="746" w:type="pct"/>
            <w:vAlign w:val="center"/>
          </w:tcPr>
          <w:p w14:paraId="2591F3A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6.0.0</w:t>
            </w:r>
          </w:p>
        </w:tc>
        <w:tc>
          <w:tcPr>
            <w:tcW w:w="1910" w:type="pct"/>
            <w:vAlign w:val="center"/>
          </w:tcPr>
          <w:p w14:paraId="24473BE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基于保守基因的完整性评估</w:t>
            </w:r>
          </w:p>
        </w:tc>
      </w:tr>
      <w:tr w14:paraId="0950D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  <w:vAlign w:val="center"/>
          </w:tcPr>
          <w:p w14:paraId="163FFDE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原核基因组注释</w:t>
            </w:r>
          </w:p>
        </w:tc>
        <w:tc>
          <w:tcPr>
            <w:tcW w:w="1159" w:type="pct"/>
            <w:vAlign w:val="center"/>
          </w:tcPr>
          <w:p w14:paraId="5DBF90A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Prokka</w:t>
            </w:r>
          </w:p>
        </w:tc>
        <w:tc>
          <w:tcPr>
            <w:tcW w:w="746" w:type="pct"/>
            <w:vAlign w:val="center"/>
          </w:tcPr>
          <w:p w14:paraId="338E57B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在线版本</w:t>
            </w:r>
          </w:p>
        </w:tc>
        <w:tc>
          <w:tcPr>
            <w:tcW w:w="1910" w:type="pct"/>
            <w:vAlign w:val="center"/>
          </w:tcPr>
          <w:p w14:paraId="12D8799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原核生物自动化注释</w:t>
            </w:r>
          </w:p>
        </w:tc>
      </w:tr>
    </w:tbl>
    <w:p w14:paraId="4304C533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实验数据集：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77"/>
        <w:gridCol w:w="3126"/>
        <w:gridCol w:w="1623"/>
        <w:gridCol w:w="2238"/>
        <w:gridCol w:w="2238"/>
      </w:tblGrid>
      <w:tr w14:paraId="7A9F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690" w:type="pct"/>
            <w:vAlign w:val="center"/>
          </w:tcPr>
          <w:p w14:paraId="49C8542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物种类型</w:t>
            </w:r>
          </w:p>
        </w:tc>
        <w:tc>
          <w:tcPr>
            <w:tcW w:w="1460" w:type="pct"/>
            <w:vAlign w:val="center"/>
          </w:tcPr>
          <w:p w14:paraId="3F9FF88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数据内容</w:t>
            </w:r>
          </w:p>
        </w:tc>
        <w:tc>
          <w:tcPr>
            <w:tcW w:w="758" w:type="pct"/>
            <w:vAlign w:val="center"/>
          </w:tcPr>
          <w:p w14:paraId="3796AE3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数据规模</w:t>
            </w:r>
          </w:p>
        </w:tc>
        <w:tc>
          <w:tcPr>
            <w:tcW w:w="1045" w:type="pct"/>
            <w:vAlign w:val="center"/>
          </w:tcPr>
          <w:p w14:paraId="1DFB2706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数据来源</w:t>
            </w:r>
          </w:p>
        </w:tc>
        <w:tc>
          <w:tcPr>
            <w:tcW w:w="1045" w:type="pct"/>
            <w:vAlign w:val="center"/>
          </w:tcPr>
          <w:p w14:paraId="1880076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序列文件</w:t>
            </w:r>
          </w:p>
        </w:tc>
      </w:tr>
      <w:tr w14:paraId="0AAF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90" w:type="pct"/>
            <w:vAlign w:val="center"/>
          </w:tcPr>
          <w:p w14:paraId="2CDBE9D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真核生物</w:t>
            </w:r>
          </w:p>
        </w:tc>
        <w:tc>
          <w:tcPr>
            <w:tcW w:w="1460" w:type="pct"/>
            <w:vAlign w:val="center"/>
          </w:tcPr>
          <w:p w14:paraId="1EF0F95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拟南芥4号染色体</w:t>
            </w:r>
          </w:p>
        </w:tc>
        <w:tc>
          <w:tcPr>
            <w:tcW w:w="758" w:type="pct"/>
            <w:vAlign w:val="center"/>
          </w:tcPr>
          <w:p w14:paraId="7C879D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18.58 Mb</w:t>
            </w:r>
          </w:p>
        </w:tc>
        <w:tc>
          <w:tcPr>
            <w:tcW w:w="1045" w:type="pct"/>
            <w:vAlign w:val="center"/>
          </w:tcPr>
          <w:p w14:paraId="2F3589D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TAIR10数据库</w:t>
            </w:r>
          </w:p>
        </w:tc>
        <w:tc>
          <w:tcPr>
            <w:tcW w:w="1045" w:type="pct"/>
            <w:vAlign w:val="center"/>
          </w:tcPr>
          <w:p w14:paraId="370AA88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sz w:val="20"/>
                <w:szCs w:val="20"/>
                <w:shd w:val="clear" w:color="FFFFFF" w:fill="D9D9D9"/>
              </w:rPr>
              <w:t>TAIR.chrom4.fa</w:t>
            </w:r>
          </w:p>
        </w:tc>
      </w:tr>
      <w:tr w14:paraId="473C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90" w:type="pct"/>
            <w:vAlign w:val="center"/>
          </w:tcPr>
          <w:p w14:paraId="24C679B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原核生物</w:t>
            </w:r>
          </w:p>
        </w:tc>
        <w:tc>
          <w:tcPr>
            <w:tcW w:w="1460" w:type="pct"/>
            <w:vAlign w:val="center"/>
          </w:tcPr>
          <w:p w14:paraId="298F880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大肠杆菌K-12基因组</w:t>
            </w:r>
          </w:p>
        </w:tc>
        <w:tc>
          <w:tcPr>
            <w:tcW w:w="758" w:type="pct"/>
            <w:vAlign w:val="center"/>
          </w:tcPr>
          <w:p w14:paraId="3E6C5E7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4.64 Mb</w:t>
            </w:r>
          </w:p>
        </w:tc>
        <w:tc>
          <w:tcPr>
            <w:tcW w:w="1045" w:type="pct"/>
            <w:vAlign w:val="center"/>
          </w:tcPr>
          <w:p w14:paraId="0F99137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标准参考菌株</w:t>
            </w:r>
          </w:p>
        </w:tc>
        <w:tc>
          <w:tcPr>
            <w:tcW w:w="1045" w:type="pct"/>
            <w:vAlign w:val="center"/>
          </w:tcPr>
          <w:p w14:paraId="0FF1BB7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sz w:val="20"/>
                <w:szCs w:val="20"/>
                <w:shd w:val="clear" w:color="FFFFFF" w:fill="D9D9D9"/>
              </w:rPr>
              <w:t>Ecoli_genomic.fa</w:t>
            </w:r>
          </w:p>
        </w:tc>
      </w:tr>
    </w:tbl>
    <w:p w14:paraId="1E07E85E">
      <w:pPr>
        <w:pStyle w:val="3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详细实验结果</w:t>
      </w:r>
    </w:p>
    <w:p w14:paraId="7BCD799D">
      <w:pPr>
        <w:pStyle w:val="4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重复序列分析结果</w:t>
      </w:r>
    </w:p>
    <w:p w14:paraId="0A06B817">
      <w:pPr>
        <w:spacing w:after="120"/>
        <w:jc w:val="left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通过RepeatMasker对拟南芥基因组进行重复序列分析，获得以下系统结果：</w:t>
      </w:r>
    </w:p>
    <w:p w14:paraId="4951D927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重复序列统计表：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36"/>
        <w:gridCol w:w="3355"/>
        <w:gridCol w:w="4313"/>
      </w:tblGrid>
      <w:tr w14:paraId="200E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418" w:type="pct"/>
          </w:tcPr>
          <w:p w14:paraId="1233F87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分析指标</w:t>
            </w:r>
          </w:p>
        </w:tc>
        <w:tc>
          <w:tcPr>
            <w:tcW w:w="1567" w:type="pct"/>
          </w:tcPr>
          <w:p w14:paraId="3A33C70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具体数值</w:t>
            </w:r>
          </w:p>
        </w:tc>
        <w:tc>
          <w:tcPr>
            <w:tcW w:w="2014" w:type="pct"/>
          </w:tcPr>
          <w:p w14:paraId="6CF3163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生物学意义</w:t>
            </w:r>
          </w:p>
        </w:tc>
      </w:tr>
      <w:tr w14:paraId="7DD2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18" w:type="pct"/>
          </w:tcPr>
          <w:p w14:paraId="52049D4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基因组总长度</w:t>
            </w:r>
          </w:p>
        </w:tc>
        <w:tc>
          <w:tcPr>
            <w:tcW w:w="1567" w:type="pct"/>
          </w:tcPr>
          <w:p w14:paraId="2DF766A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18,584,056 bp</w:t>
            </w:r>
          </w:p>
        </w:tc>
        <w:tc>
          <w:tcPr>
            <w:tcW w:w="2014" w:type="pct"/>
          </w:tcPr>
          <w:p w14:paraId="7A33595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标准染色体规模</w:t>
            </w:r>
          </w:p>
        </w:tc>
      </w:tr>
      <w:tr w14:paraId="4E2F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18" w:type="pct"/>
          </w:tcPr>
          <w:p w14:paraId="32A0055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重复序列比例</w:t>
            </w:r>
          </w:p>
        </w:tc>
        <w:tc>
          <w:tcPr>
            <w:tcW w:w="1567" w:type="pct"/>
          </w:tcPr>
          <w:p w14:paraId="10B7B64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1.88%</w:t>
            </w:r>
          </w:p>
        </w:tc>
        <w:tc>
          <w:tcPr>
            <w:tcW w:w="2014" w:type="pct"/>
          </w:tcPr>
          <w:p w14:paraId="21473F77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低于典型真核基因组</w:t>
            </w:r>
          </w:p>
        </w:tc>
      </w:tr>
      <w:tr w14:paraId="067B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18" w:type="pct"/>
          </w:tcPr>
          <w:p w14:paraId="1D3908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重复序列长度</w:t>
            </w:r>
          </w:p>
        </w:tc>
        <w:tc>
          <w:tcPr>
            <w:tcW w:w="1567" w:type="pct"/>
          </w:tcPr>
          <w:p w14:paraId="2FDB34A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348,766 bp</w:t>
            </w:r>
          </w:p>
        </w:tc>
        <w:tc>
          <w:tcPr>
            <w:tcW w:w="2014" w:type="pct"/>
          </w:tcPr>
          <w:p w14:paraId="3F1FBB6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需屏蔽处理区域</w:t>
            </w:r>
          </w:p>
        </w:tc>
      </w:tr>
      <w:tr w14:paraId="55B8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18" w:type="pct"/>
          </w:tcPr>
          <w:p w14:paraId="3DE701F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主要重复类型</w:t>
            </w:r>
          </w:p>
        </w:tc>
        <w:tc>
          <w:tcPr>
            <w:tcW w:w="1567" w:type="pct"/>
          </w:tcPr>
          <w:p w14:paraId="6AD638E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简单重复序列</w:t>
            </w:r>
          </w:p>
        </w:tc>
        <w:tc>
          <w:tcPr>
            <w:tcW w:w="2014" w:type="pct"/>
          </w:tcPr>
          <w:p w14:paraId="34CA40DC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无复杂转座子元件</w:t>
            </w:r>
          </w:p>
        </w:tc>
      </w:tr>
    </w:tbl>
    <w:p w14:paraId="17DD809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left"/>
        <w:textAlignment w:val="auto"/>
      </w:pPr>
      <w:r>
        <w:drawing>
          <wp:inline distT="0" distB="0" distL="114300" distR="114300">
            <wp:extent cx="5726430" cy="25006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4566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64F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left"/>
        <w:textAlignment w:val="auto"/>
      </w:pPr>
      <w:r>
        <w:drawing>
          <wp:inline distT="0" distB="0" distL="114300" distR="114300">
            <wp:extent cx="6193790" cy="7122160"/>
            <wp:effectExtent l="0" t="0" r="889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712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D81FA">
      <w:pPr>
        <w:pStyle w:val="4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基因预测质量评估</w:t>
      </w:r>
    </w:p>
    <w:p w14:paraId="18902363">
      <w:pPr>
        <w:spacing w:after="12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color w:val="F20000"/>
        </w:rPr>
        <w:t>Augustus基因预测结果显示出明显的质量问题，需要深入分析和优化。</w:t>
      </w:r>
    </w:p>
    <w:p w14:paraId="7F443D31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基因预测统计表：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66"/>
        <w:gridCol w:w="2696"/>
        <w:gridCol w:w="2507"/>
        <w:gridCol w:w="3133"/>
      </w:tblGrid>
      <w:tr w14:paraId="1CEC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05" w:type="pct"/>
          </w:tcPr>
          <w:p w14:paraId="0B7482D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预测特征</w:t>
            </w:r>
          </w:p>
        </w:tc>
        <w:tc>
          <w:tcPr>
            <w:tcW w:w="1259" w:type="pct"/>
          </w:tcPr>
          <w:p w14:paraId="27F097C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数量统计</w:t>
            </w:r>
          </w:p>
        </w:tc>
        <w:tc>
          <w:tcPr>
            <w:tcW w:w="1171" w:type="pct"/>
          </w:tcPr>
          <w:p w14:paraId="7EF742D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预期范围</w:t>
            </w:r>
          </w:p>
        </w:tc>
        <w:tc>
          <w:tcPr>
            <w:tcW w:w="1463" w:type="pct"/>
          </w:tcPr>
          <w:p w14:paraId="51EE38B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质量评估</w:t>
            </w:r>
          </w:p>
        </w:tc>
      </w:tr>
      <w:tr w14:paraId="4813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05" w:type="pct"/>
          </w:tcPr>
          <w:p w14:paraId="20472B9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总基因数</w:t>
            </w:r>
          </w:p>
        </w:tc>
        <w:tc>
          <w:tcPr>
            <w:tcW w:w="1259" w:type="pct"/>
          </w:tcPr>
          <w:p w14:paraId="2608BAB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4,215个</w:t>
            </w:r>
          </w:p>
        </w:tc>
        <w:tc>
          <w:tcPr>
            <w:tcW w:w="1171" w:type="pct"/>
          </w:tcPr>
          <w:p w14:paraId="7061160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~1,200个</w:t>
            </w:r>
          </w:p>
        </w:tc>
        <w:tc>
          <w:tcPr>
            <w:tcW w:w="1463" w:type="pct"/>
          </w:tcPr>
          <w:p w14:paraId="122C3CE5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严重偏高</w:t>
            </w:r>
          </w:p>
        </w:tc>
      </w:tr>
      <w:tr w14:paraId="6830A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05" w:type="pct"/>
          </w:tcPr>
          <w:p w14:paraId="748BCD4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转录本数</w:t>
            </w:r>
          </w:p>
        </w:tc>
        <w:tc>
          <w:tcPr>
            <w:tcW w:w="1259" w:type="pct"/>
          </w:tcPr>
          <w:p w14:paraId="102D66C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101,590个</w:t>
            </w:r>
          </w:p>
        </w:tc>
        <w:tc>
          <w:tcPr>
            <w:tcW w:w="1171" w:type="pct"/>
          </w:tcPr>
          <w:p w14:paraId="1499EA6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~1,500个</w:t>
            </w:r>
          </w:p>
        </w:tc>
        <w:tc>
          <w:tcPr>
            <w:tcW w:w="1463" w:type="pct"/>
          </w:tcPr>
          <w:p w14:paraId="73326374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异常超高</w:t>
            </w:r>
          </w:p>
        </w:tc>
      </w:tr>
      <w:tr w14:paraId="4399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05" w:type="pct"/>
          </w:tcPr>
          <w:p w14:paraId="25964E7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外显子数</w:t>
            </w:r>
          </w:p>
        </w:tc>
        <w:tc>
          <w:tcPr>
            <w:tcW w:w="1259" w:type="pct"/>
          </w:tcPr>
          <w:p w14:paraId="76472FC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38,715个</w:t>
            </w:r>
          </w:p>
        </w:tc>
        <w:tc>
          <w:tcPr>
            <w:tcW w:w="1171" w:type="pct"/>
          </w:tcPr>
          <w:p w14:paraId="4D7192F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1463" w:type="pct"/>
          </w:tcPr>
          <w:p w14:paraId="53A91B0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需进一步验证</w:t>
            </w:r>
          </w:p>
        </w:tc>
      </w:tr>
      <w:tr w14:paraId="75EB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05" w:type="pct"/>
          </w:tcPr>
          <w:p w14:paraId="1C0E796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CDS数目</w:t>
            </w:r>
          </w:p>
        </w:tc>
        <w:tc>
          <w:tcPr>
            <w:tcW w:w="1259" w:type="pct"/>
          </w:tcPr>
          <w:p w14:paraId="6A13380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33,710个</w:t>
            </w:r>
          </w:p>
        </w:tc>
        <w:tc>
          <w:tcPr>
            <w:tcW w:w="1171" w:type="pct"/>
          </w:tcPr>
          <w:p w14:paraId="057D03D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1463" w:type="pct"/>
          </w:tcPr>
          <w:p w14:paraId="385FCCA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编码区域统计</w:t>
            </w:r>
          </w:p>
        </w:tc>
      </w:tr>
    </w:tbl>
    <w:p w14:paraId="35F20CAE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基因结构特征表：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88"/>
        <w:gridCol w:w="2632"/>
        <w:gridCol w:w="3261"/>
        <w:gridCol w:w="1621"/>
      </w:tblGrid>
      <w:tr w14:paraId="3E3BD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489" w:type="pct"/>
          </w:tcPr>
          <w:p w14:paraId="2E500C7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结构参数</w:t>
            </w:r>
          </w:p>
        </w:tc>
        <w:tc>
          <w:tcPr>
            <w:tcW w:w="1229" w:type="pct"/>
          </w:tcPr>
          <w:p w14:paraId="5D82172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测量值</w:t>
            </w:r>
          </w:p>
        </w:tc>
        <w:tc>
          <w:tcPr>
            <w:tcW w:w="1523" w:type="pct"/>
          </w:tcPr>
          <w:p w14:paraId="4DEA2F6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参考标准</w:t>
            </w:r>
          </w:p>
        </w:tc>
        <w:tc>
          <w:tcPr>
            <w:tcW w:w="757" w:type="pct"/>
          </w:tcPr>
          <w:p w14:paraId="35F5F10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符合度</w:t>
            </w:r>
          </w:p>
        </w:tc>
      </w:tr>
      <w:tr w14:paraId="09FD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89" w:type="pct"/>
          </w:tcPr>
          <w:p w14:paraId="316CD53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平均基因长度</w:t>
            </w:r>
          </w:p>
        </w:tc>
        <w:tc>
          <w:tcPr>
            <w:tcW w:w="1229" w:type="pct"/>
          </w:tcPr>
          <w:p w14:paraId="5BBD810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2,966.21 bp</w:t>
            </w:r>
          </w:p>
        </w:tc>
        <w:tc>
          <w:tcPr>
            <w:tcW w:w="1523" w:type="pct"/>
          </w:tcPr>
          <w:p w14:paraId="77AAC14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2,000-3,000 bp</w:t>
            </w:r>
          </w:p>
        </w:tc>
        <w:tc>
          <w:tcPr>
            <w:tcW w:w="757" w:type="pct"/>
          </w:tcPr>
          <w:p w14:paraId="726FE537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符合</w:t>
            </w:r>
          </w:p>
        </w:tc>
      </w:tr>
      <w:tr w14:paraId="5EE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89" w:type="pct"/>
          </w:tcPr>
          <w:p w14:paraId="06F7660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CDS平均长度</w:t>
            </w:r>
          </w:p>
        </w:tc>
        <w:tc>
          <w:tcPr>
            <w:tcW w:w="1229" w:type="pct"/>
          </w:tcPr>
          <w:p w14:paraId="68B78FC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250.32 bp</w:t>
            </w:r>
          </w:p>
        </w:tc>
        <w:tc>
          <w:tcPr>
            <w:tcW w:w="1523" w:type="pct"/>
          </w:tcPr>
          <w:p w14:paraId="6E93778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200-300 bp</w:t>
            </w:r>
          </w:p>
        </w:tc>
        <w:tc>
          <w:tcPr>
            <w:tcW w:w="757" w:type="pct"/>
          </w:tcPr>
          <w:p w14:paraId="0DFFF65C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符合</w:t>
            </w:r>
          </w:p>
        </w:tc>
      </w:tr>
      <w:tr w14:paraId="0E6A9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89" w:type="pct"/>
          </w:tcPr>
          <w:p w14:paraId="55E8553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内含子平均长度</w:t>
            </w:r>
          </w:p>
        </w:tc>
        <w:tc>
          <w:tcPr>
            <w:tcW w:w="1229" w:type="pct"/>
          </w:tcPr>
          <w:p w14:paraId="78F01B6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181.17 bp</w:t>
            </w:r>
          </w:p>
        </w:tc>
        <w:tc>
          <w:tcPr>
            <w:tcW w:w="1523" w:type="pct"/>
          </w:tcPr>
          <w:p w14:paraId="4471C4E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200-500 bp</w:t>
            </w:r>
          </w:p>
        </w:tc>
        <w:tc>
          <w:tcPr>
            <w:tcW w:w="757" w:type="pct"/>
          </w:tcPr>
          <w:p w14:paraId="42EA27C4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偏短</w:t>
            </w:r>
          </w:p>
        </w:tc>
      </w:tr>
    </w:tbl>
    <w:p w14:paraId="76256392">
      <w:pPr>
        <w:spacing w:after="120"/>
        <w:jc w:val="left"/>
      </w:pPr>
      <w:r>
        <w:drawing>
          <wp:inline distT="0" distB="0" distL="114300" distR="114300">
            <wp:extent cx="5136515" cy="457835"/>
            <wp:effectExtent l="0" t="0" r="1460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06F0">
      <w:pPr>
        <w:spacing w:after="120"/>
        <w:jc w:val="left"/>
      </w:pPr>
      <w:r>
        <w:drawing>
          <wp:inline distT="0" distB="0" distL="114300" distR="114300">
            <wp:extent cx="5156200" cy="2093595"/>
            <wp:effectExtent l="0" t="0" r="1016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246C">
      <w:pPr>
        <w:spacing w:after="120"/>
        <w:jc w:val="left"/>
      </w:pPr>
      <w:r>
        <w:drawing>
          <wp:inline distT="0" distB="0" distL="114300" distR="114300">
            <wp:extent cx="5160645" cy="2096135"/>
            <wp:effectExtent l="0" t="0" r="571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291B">
      <w:pPr>
        <w:spacing w:after="120"/>
        <w:jc w:val="left"/>
        <w:rPr>
          <w:rFonts w:hint="eastAsia"/>
        </w:rPr>
      </w:pPr>
      <w:r>
        <w:drawing>
          <wp:inline distT="0" distB="0" distL="114300" distR="114300">
            <wp:extent cx="5155565" cy="353695"/>
            <wp:effectExtent l="0" t="0" r="1079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65AF">
      <w:pPr>
        <w:pStyle w:val="4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蛋白质序列分析</w:t>
      </w:r>
    </w:p>
    <w:p w14:paraId="74630722">
      <w:pPr>
        <w:spacing w:after="1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从预测结果中提取蛋白质序列进行进一步分析：</w:t>
      </w:r>
    </w:p>
    <w:p w14:paraId="46488AF6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蛋白质序列统计表：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32"/>
        <w:gridCol w:w="1520"/>
        <w:gridCol w:w="7452"/>
      </w:tblGrid>
      <w:tr w14:paraId="3109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809" w:type="pct"/>
          </w:tcPr>
          <w:p w14:paraId="7003102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分析项目</w:t>
            </w:r>
          </w:p>
        </w:tc>
        <w:tc>
          <w:tcPr>
            <w:tcW w:w="710" w:type="pct"/>
          </w:tcPr>
          <w:p w14:paraId="391535F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统计结果</w:t>
            </w:r>
          </w:p>
        </w:tc>
        <w:tc>
          <w:tcPr>
            <w:tcW w:w="3480" w:type="pct"/>
          </w:tcPr>
          <w:p w14:paraId="3347201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数据验证方法</w:t>
            </w:r>
          </w:p>
        </w:tc>
      </w:tr>
      <w:tr w14:paraId="1A1E0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 w14:paraId="1185827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蛋白质序列数量</w:t>
            </w:r>
          </w:p>
        </w:tc>
        <w:tc>
          <w:tcPr>
            <w:tcW w:w="710" w:type="pct"/>
          </w:tcPr>
          <w:p w14:paraId="3F69934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4,215条</w:t>
            </w:r>
          </w:p>
        </w:tc>
        <w:tc>
          <w:tcPr>
            <w:tcW w:w="3480" w:type="pct"/>
          </w:tcPr>
          <w:p w14:paraId="3E3D4A9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drawing>
                <wp:inline distT="0" distB="0" distL="114300" distR="114300">
                  <wp:extent cx="4486910" cy="328930"/>
                  <wp:effectExtent l="0" t="0" r="889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89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9" w:type="pct"/>
          </w:tcPr>
          <w:p w14:paraId="73895F4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总氨基酸数量</w:t>
            </w:r>
          </w:p>
        </w:tc>
        <w:tc>
          <w:tcPr>
            <w:tcW w:w="710" w:type="pct"/>
          </w:tcPr>
          <w:p w14:paraId="2965ACB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2,091,366个</w:t>
            </w:r>
          </w:p>
        </w:tc>
        <w:tc>
          <w:tcPr>
            <w:tcW w:w="3480" w:type="pct"/>
          </w:tcPr>
          <w:p w14:paraId="362856F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drawing>
                <wp:inline distT="0" distB="0" distL="114300" distR="114300">
                  <wp:extent cx="4501515" cy="32575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515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B6EBC">
      <w:pPr>
        <w:pStyle w:val="4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基因完整性评估</w:t>
      </w:r>
    </w:p>
    <w:p w14:paraId="5A6BBA08">
      <w:pPr>
        <w:spacing w:after="1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F20000"/>
        </w:rPr>
        <w:t>BUSCO评估结果显示严重的完整性问题，仅15.2%的保守基因被完整预测。</w:t>
      </w:r>
    </w:p>
    <w:p w14:paraId="41758437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BUSCO评估详细结果：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77"/>
        <w:gridCol w:w="2677"/>
        <w:gridCol w:w="2677"/>
        <w:gridCol w:w="2677"/>
      </w:tblGrid>
      <w:tr w14:paraId="7A76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138406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评估类别</w:t>
            </w:r>
          </w:p>
        </w:tc>
        <w:tc>
          <w:p w14:paraId="12449D2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基因数量</w:t>
            </w:r>
          </w:p>
        </w:tc>
        <w:tc>
          <w:p w14:paraId="2042BA3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百分比</w:t>
            </w:r>
          </w:p>
        </w:tc>
        <w:tc>
          <w:p w14:paraId="340C1BD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质量等级</w:t>
            </w:r>
          </w:p>
        </w:tc>
      </w:tr>
      <w:tr w14:paraId="2A71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F875F8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完整BUSCOs</w:t>
            </w:r>
          </w:p>
        </w:tc>
        <w:tc>
          <w:p w14:paraId="58F1143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245个</w:t>
            </w:r>
          </w:p>
        </w:tc>
        <w:tc>
          <w:p w14:paraId="72B0265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15.2%</w:t>
            </w:r>
          </w:p>
        </w:tc>
        <w:tc>
          <w:p w14:paraId="48220BF6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严重不足</w:t>
            </w:r>
          </w:p>
        </w:tc>
      </w:tr>
      <w:tr w14:paraId="03C1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4963B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单拷贝完整</w:t>
            </w:r>
          </w:p>
        </w:tc>
        <w:tc>
          <w:p w14:paraId="3325059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234个</w:t>
            </w:r>
          </w:p>
        </w:tc>
        <w:tc>
          <w:p w14:paraId="65F8866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14.5%</w:t>
            </w:r>
          </w:p>
        </w:tc>
        <w:tc>
          <w:p w14:paraId="33CF8170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需改进</w:t>
            </w:r>
          </w:p>
        </w:tc>
      </w:tr>
      <w:tr w14:paraId="6016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AF0FC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多拷贝完整</w:t>
            </w:r>
          </w:p>
        </w:tc>
        <w:tc>
          <w:p w14:paraId="5908EBD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11个</w:t>
            </w:r>
          </w:p>
        </w:tc>
        <w:tc>
          <w:p w14:paraId="2CED181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0.7%</w:t>
            </w:r>
          </w:p>
        </w:tc>
        <w:tc>
          <w:p w14:paraId="2BC3640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可接受</w:t>
            </w:r>
          </w:p>
        </w:tc>
      </w:tr>
      <w:tr w14:paraId="06BA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25C26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片段化BUSCOs</w:t>
            </w:r>
          </w:p>
        </w:tc>
        <w:tc>
          <w:p w14:paraId="1472B5F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12个</w:t>
            </w:r>
          </w:p>
        </w:tc>
        <w:tc>
          <w:p w14:paraId="5436585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0.7%</w:t>
            </w:r>
          </w:p>
        </w:tc>
        <w:tc>
          <w:p w14:paraId="1B55097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可接受</w:t>
            </w:r>
          </w:p>
        </w:tc>
      </w:tr>
      <w:tr w14:paraId="59AD7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1F1DB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缺失BUSCOs</w:t>
            </w:r>
          </w:p>
        </w:tc>
        <w:tc>
          <w:p w14:paraId="3FD5B53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1,357个</w:t>
            </w:r>
          </w:p>
        </w:tc>
        <w:tc>
          <w:p w14:paraId="0BBAF94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84.1%</w:t>
            </w:r>
          </w:p>
        </w:tc>
        <w:tc>
          <w:p w14:paraId="1DE11137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严重问题</w:t>
            </w:r>
          </w:p>
        </w:tc>
      </w:tr>
    </w:tbl>
    <w:p w14:paraId="16F9DA7D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评估数据库信息：</w:t>
      </w:r>
    </w:p>
    <w:p w14:paraId="2AF0CCD9">
      <w:pPr>
        <w:pStyle w:val="15"/>
        <w:numPr>
          <w:ilvl w:val="0"/>
          <w:numId w:val="1"/>
        </w:numPr>
        <w:spacing w:after="1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数据库名称：embryophyta_odb10</w:t>
      </w:r>
    </w:p>
    <w:p w14:paraId="59AFD371">
      <w:pPr>
        <w:pStyle w:val="15"/>
        <w:numPr>
          <w:ilvl w:val="0"/>
          <w:numId w:val="1"/>
        </w:numPr>
        <w:spacing w:after="1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数据库大小：1,614个保守基因</w:t>
      </w:r>
    </w:p>
    <w:p w14:paraId="61DBAAA1">
      <w:pPr>
        <w:pStyle w:val="15"/>
        <w:numPr>
          <w:ilvl w:val="0"/>
          <w:numId w:val="1"/>
        </w:numPr>
        <w:spacing w:after="1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评估模式：蛋白质模式</w:t>
      </w:r>
    </w:p>
    <w:p w14:paraId="268A8565">
      <w:pPr>
        <w:pStyle w:val="15"/>
        <w:numPr>
          <w:ilvl w:val="0"/>
          <w:numId w:val="1"/>
        </w:numPr>
        <w:spacing w:after="100"/>
        <w:jc w:val="left"/>
      </w:pPr>
      <w:r>
        <w:rPr>
          <w:rFonts w:hint="eastAsia" w:ascii="微软雅黑" w:hAnsi="微软雅黑" w:eastAsia="微软雅黑" w:cs="微软雅黑"/>
        </w:rPr>
        <w:t>运行时间：369秒</w:t>
      </w:r>
    </w:p>
    <w:p w14:paraId="7BFFE1B7">
      <w:pPr>
        <w:pStyle w:val="4"/>
        <w:spacing w:after="200"/>
        <w:jc w:val="left"/>
      </w:pPr>
      <w:r>
        <w:drawing>
          <wp:inline distT="0" distB="0" distL="114300" distR="114300">
            <wp:extent cx="4953000" cy="232791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63CC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大肠杆菌注释结果</w:t>
      </w:r>
    </w:p>
    <w:p w14:paraId="38C58F61">
      <w:pPr>
        <w:spacing w:after="1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00742E"/>
        </w:rPr>
        <w:t>大肠杆菌注释结果显示出较好的质量，基因数量和结构符合预期。</w:t>
      </w:r>
    </w:p>
    <w:p w14:paraId="427ED841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原核注释统计表：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62"/>
        <w:gridCol w:w="3145"/>
        <w:gridCol w:w="2961"/>
        <w:gridCol w:w="2134"/>
      </w:tblGrid>
      <w:tr w14:paraId="060B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50" w:type="pct"/>
          </w:tcPr>
          <w:p w14:paraId="20F4A3E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注释特征</w:t>
            </w:r>
          </w:p>
        </w:tc>
        <w:tc>
          <w:tcPr>
            <w:tcW w:w="1469" w:type="pct"/>
          </w:tcPr>
          <w:p w14:paraId="5454E7B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数量统计</w:t>
            </w:r>
          </w:p>
        </w:tc>
        <w:tc>
          <w:tcPr>
            <w:tcW w:w="1383" w:type="pct"/>
          </w:tcPr>
          <w:p w14:paraId="0359BE8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生物学预期</w:t>
            </w:r>
          </w:p>
        </w:tc>
        <w:tc>
          <w:tcPr>
            <w:tcW w:w="996" w:type="pct"/>
          </w:tcPr>
          <w:p w14:paraId="08ED2E5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符合程度</w:t>
            </w:r>
          </w:p>
        </w:tc>
      </w:tr>
      <w:tr w14:paraId="45E0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0" w:type="pct"/>
          </w:tcPr>
          <w:p w14:paraId="2E700A0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基因总数</w:t>
            </w:r>
          </w:p>
        </w:tc>
        <w:tc>
          <w:tcPr>
            <w:tcW w:w="1469" w:type="pct"/>
          </w:tcPr>
          <w:p w14:paraId="6D8CADA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3,459个</w:t>
            </w:r>
          </w:p>
        </w:tc>
        <w:tc>
          <w:tcPr>
            <w:tcW w:w="1383" w:type="pct"/>
          </w:tcPr>
          <w:p w14:paraId="0F339BE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~4,300个</w:t>
            </w:r>
          </w:p>
        </w:tc>
        <w:tc>
          <w:tcPr>
            <w:tcW w:w="996" w:type="pct"/>
          </w:tcPr>
          <w:p w14:paraId="0269B460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</w:rPr>
              <w:t>基本符合</w:t>
            </w:r>
          </w:p>
        </w:tc>
      </w:tr>
      <w:tr w14:paraId="1DB5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0" w:type="pct"/>
          </w:tcPr>
          <w:p w14:paraId="7A9F8F6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CDS数量</w:t>
            </w:r>
          </w:p>
        </w:tc>
        <w:tc>
          <w:tcPr>
            <w:tcW w:w="1469" w:type="pct"/>
          </w:tcPr>
          <w:p w14:paraId="6BEF3F1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4,305个</w:t>
            </w:r>
          </w:p>
        </w:tc>
        <w:tc>
          <w:tcPr>
            <w:tcW w:w="1383" w:type="pct"/>
          </w:tcPr>
          <w:p w14:paraId="099A180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996" w:type="pct"/>
          </w:tcPr>
          <w:p w14:paraId="0B242FB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正常范围</w:t>
            </w:r>
          </w:p>
        </w:tc>
      </w:tr>
      <w:tr w14:paraId="164C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0" w:type="pct"/>
          </w:tcPr>
          <w:p w14:paraId="73B4D5E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tRNA数目</w:t>
            </w:r>
          </w:p>
        </w:tc>
        <w:tc>
          <w:tcPr>
            <w:tcW w:w="1469" w:type="pct"/>
          </w:tcPr>
          <w:p w14:paraId="705F989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159个</w:t>
            </w:r>
          </w:p>
        </w:tc>
        <w:tc>
          <w:tcPr>
            <w:tcW w:w="1383" w:type="pct"/>
          </w:tcPr>
          <w:p w14:paraId="45224FF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~100-200个</w:t>
            </w:r>
          </w:p>
        </w:tc>
        <w:tc>
          <w:tcPr>
            <w:tcW w:w="996" w:type="pct"/>
          </w:tcPr>
          <w:p w14:paraId="2AB27EA4">
            <w:pPr>
              <w:jc w:val="left"/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符合</w:t>
            </w:r>
          </w:p>
        </w:tc>
      </w:tr>
      <w:tr w14:paraId="0619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0" w:type="pct"/>
          </w:tcPr>
          <w:p w14:paraId="2251626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rRNA数目</w:t>
            </w:r>
          </w:p>
        </w:tc>
        <w:tc>
          <w:tcPr>
            <w:tcW w:w="1469" w:type="pct"/>
          </w:tcPr>
          <w:p w14:paraId="54134E7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30个</w:t>
            </w:r>
          </w:p>
        </w:tc>
        <w:tc>
          <w:tcPr>
            <w:tcW w:w="1383" w:type="pct"/>
          </w:tcPr>
          <w:p w14:paraId="3B9B50F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~20-30个</w:t>
            </w:r>
          </w:p>
        </w:tc>
        <w:tc>
          <w:tcPr>
            <w:tcW w:w="996" w:type="pct"/>
          </w:tcPr>
          <w:p w14:paraId="6EEECD40">
            <w:pPr>
              <w:jc w:val="left"/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符合</w:t>
            </w:r>
          </w:p>
        </w:tc>
      </w:tr>
      <w:tr w14:paraId="694C9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0" w:type="pct"/>
          </w:tcPr>
          <w:p w14:paraId="431F87B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基因密度</w:t>
            </w:r>
          </w:p>
        </w:tc>
        <w:tc>
          <w:tcPr>
            <w:tcW w:w="1469" w:type="pct"/>
          </w:tcPr>
          <w:p w14:paraId="3110FA3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1基因/1.34kb</w:t>
            </w:r>
          </w:p>
        </w:tc>
        <w:tc>
          <w:tcPr>
            <w:tcW w:w="1383" w:type="pct"/>
          </w:tcPr>
          <w:p w14:paraId="5B0AD1A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典型原核密度</w:t>
            </w:r>
          </w:p>
        </w:tc>
        <w:tc>
          <w:tcPr>
            <w:tcW w:w="996" w:type="pct"/>
          </w:tcPr>
          <w:p w14:paraId="3A7983FC">
            <w:pPr>
              <w:jc w:val="left"/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符合</w:t>
            </w:r>
          </w:p>
        </w:tc>
      </w:tr>
    </w:tbl>
    <w:p w14:paraId="7F94FCA4">
      <w:pPr>
        <w:pStyle w:val="3"/>
        <w:spacing w:after="200"/>
        <w:jc w:val="left"/>
      </w:pPr>
      <w:r>
        <w:drawing>
          <wp:inline distT="0" distB="0" distL="114300" distR="114300">
            <wp:extent cx="6591300" cy="156210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CBDD">
      <w:pPr>
        <w:pStyle w:val="3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技术对比分析</w:t>
      </w:r>
    </w:p>
    <w:p w14:paraId="32D8683B">
      <w:pPr>
        <w:pStyle w:val="4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真核与原核注释差异</w:t>
      </w:r>
    </w:p>
    <w:p w14:paraId="58394907">
      <w:pPr>
        <w:spacing w:after="12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通过对比分析，明确了两类生物在注释方法上的本质差异。</w:t>
      </w:r>
    </w:p>
    <w:p w14:paraId="1462195D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技术方法对比表：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77"/>
        <w:gridCol w:w="2677"/>
        <w:gridCol w:w="2677"/>
        <w:gridCol w:w="2677"/>
      </w:tblGrid>
      <w:tr w14:paraId="319F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FF8CA5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技术维度</w:t>
            </w:r>
          </w:p>
        </w:tc>
        <w:tc>
          <w:p w14:paraId="160FC41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拟南芥(真核)</w:t>
            </w:r>
          </w:p>
        </w:tc>
        <w:tc>
          <w:p w14:paraId="1F83C0E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大肠杆菌(原核)</w:t>
            </w:r>
          </w:p>
        </w:tc>
        <w:tc>
          <w:p w14:paraId="48C8502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差异显著性</w:t>
            </w:r>
          </w:p>
        </w:tc>
      </w:tr>
      <w:tr w14:paraId="073B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5B119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重复序列处理</w:t>
            </w:r>
          </w:p>
        </w:tc>
        <w:tc>
          <w:p w14:paraId="77B6D59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必需步骤</w:t>
            </w:r>
          </w:p>
        </w:tc>
        <w:tc>
          <w:p w14:paraId="483DAB1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通常省略</w:t>
            </w:r>
          </w:p>
        </w:tc>
        <w:tc>
          <w:p w14:paraId="7B5BE9DD">
            <w:pPr>
              <w:jc w:val="left"/>
              <w:rPr>
                <w:rFonts w:hint="eastAsia" w:ascii="微软雅黑" w:hAnsi="微软雅黑" w:eastAsia="微软雅黑" w:cs="微软雅黑"/>
                <w:color w:val="FF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</w:rPr>
              <w:t>高度显著</w:t>
            </w:r>
          </w:p>
        </w:tc>
      </w:tr>
      <w:tr w14:paraId="7691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DC84C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基因结构复杂度</w:t>
            </w:r>
          </w:p>
        </w:tc>
        <w:tc>
          <w:p w14:paraId="3072CA2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高(内含子-外显子)</w:t>
            </w:r>
          </w:p>
        </w:tc>
        <w:tc>
          <w:p w14:paraId="2239104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低(连续ORF)</w:t>
            </w:r>
          </w:p>
        </w:tc>
        <w:tc>
          <w:p w14:paraId="7C579FF1">
            <w:pPr>
              <w:jc w:val="left"/>
              <w:rPr>
                <w:rFonts w:hint="eastAsia" w:ascii="微软雅黑" w:hAnsi="微软雅黑" w:eastAsia="微软雅黑" w:cs="微软雅黑"/>
                <w:color w:val="FF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</w:rPr>
              <w:t>高度显著</w:t>
            </w:r>
          </w:p>
        </w:tc>
      </w:tr>
      <w:tr w14:paraId="597D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1D5AB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预测工具特异性</w:t>
            </w:r>
          </w:p>
        </w:tc>
        <w:tc>
          <w:p w14:paraId="791C862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专用真核工具</w:t>
            </w:r>
          </w:p>
        </w:tc>
        <w:tc>
          <w:p w14:paraId="55B1BF0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专用原核工具</w:t>
            </w:r>
          </w:p>
        </w:tc>
        <w:tc>
          <w:p w14:paraId="23732605">
            <w:pPr>
              <w:jc w:val="left"/>
              <w:rPr>
                <w:rFonts w:hint="eastAsia" w:ascii="微软雅黑" w:hAnsi="微软雅黑" w:eastAsia="微软雅黑" w:cs="微软雅黑"/>
                <w:color w:val="FF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</w:rPr>
              <w:t>高度显著</w:t>
            </w:r>
          </w:p>
        </w:tc>
      </w:tr>
      <w:tr w14:paraId="2508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2EB78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评估标准</w:t>
            </w:r>
          </w:p>
        </w:tc>
        <w:tc>
          <w:p w14:paraId="2C2755D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BUSCO保守基因</w:t>
            </w:r>
          </w:p>
        </w:tc>
        <w:tc>
          <w:p w14:paraId="38BE3A13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核心基因集</w:t>
            </w:r>
          </w:p>
        </w:tc>
        <w:tc>
          <w:p w14:paraId="018AFC7D">
            <w:pPr>
              <w:jc w:val="left"/>
              <w:rPr>
                <w:rFonts w:hint="eastAsia" w:ascii="微软雅黑" w:hAnsi="微软雅黑" w:eastAsia="微软雅黑" w:cs="微软雅黑"/>
                <w:color w:val="0000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</w:rPr>
              <w:t>显著</w:t>
            </w:r>
          </w:p>
        </w:tc>
      </w:tr>
    </w:tbl>
    <w:p w14:paraId="393D2FB5">
      <w:pPr>
        <w:spacing w:after="12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结果特征对比表：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77"/>
        <w:gridCol w:w="2677"/>
        <w:gridCol w:w="2677"/>
        <w:gridCol w:w="2677"/>
      </w:tblGrid>
      <w:tr w14:paraId="06658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2638A0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结果特征</w:t>
            </w:r>
          </w:p>
        </w:tc>
        <w:tc>
          <w:p w14:paraId="04451FB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拟南芥结果</w:t>
            </w:r>
          </w:p>
        </w:tc>
        <w:tc>
          <w:p w14:paraId="6AD1034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大肠杆菌结果</w:t>
            </w:r>
          </w:p>
        </w:tc>
        <w:tc>
          <w:p w14:paraId="084BBC3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质量差异</w:t>
            </w:r>
          </w:p>
        </w:tc>
      </w:tr>
      <w:tr w14:paraId="3E494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29B528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基因数量准确性</w:t>
            </w:r>
          </w:p>
        </w:tc>
        <w:tc>
          <w:p w14:paraId="39F581BE">
            <w:pPr>
              <w:jc w:val="left"/>
              <w:rPr>
                <w:rFonts w:hint="eastAsia" w:ascii="微软雅黑" w:hAnsi="微软雅黑" w:eastAsia="微软雅黑" w:cs="微软雅黑"/>
                <w:color w:val="F2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20000"/>
              </w:rPr>
              <w:t>低</w:t>
            </w:r>
          </w:p>
        </w:tc>
        <w:tc>
          <w:p w14:paraId="6A770E2F">
            <w:pPr>
              <w:jc w:val="left"/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高</w:t>
            </w:r>
          </w:p>
        </w:tc>
        <w:tc>
          <w:p w14:paraId="70028DF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明显</w:t>
            </w:r>
          </w:p>
        </w:tc>
      </w:tr>
      <w:tr w14:paraId="64EE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2D158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结构预测可靠性</w:t>
            </w:r>
          </w:p>
        </w:tc>
        <w:tc>
          <w:p w14:paraId="5B9CA520">
            <w:pPr>
              <w:jc w:val="left"/>
              <w:rPr>
                <w:rFonts w:hint="eastAsia" w:ascii="微软雅黑" w:hAnsi="微软雅黑" w:eastAsia="微软雅黑" w:cs="微软雅黑"/>
                <w:color w:val="F2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20000"/>
              </w:rPr>
              <w:t>待改进</w:t>
            </w:r>
          </w:p>
        </w:tc>
        <w:tc>
          <w:p w14:paraId="70048CE3">
            <w:pPr>
              <w:jc w:val="left"/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良好</w:t>
            </w:r>
          </w:p>
        </w:tc>
        <w:tc>
          <w:p w14:paraId="7FFCCB0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明显</w:t>
            </w:r>
          </w:p>
        </w:tc>
      </w:tr>
      <w:tr w14:paraId="2C91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C4145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完整性评估</w:t>
            </w:r>
          </w:p>
        </w:tc>
        <w:tc>
          <w:p w14:paraId="42969964">
            <w:pPr>
              <w:jc w:val="left"/>
              <w:rPr>
                <w:rFonts w:hint="eastAsia" w:ascii="微软雅黑" w:hAnsi="微软雅黑" w:eastAsia="微软雅黑" w:cs="微软雅黑"/>
                <w:color w:val="F2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20000"/>
              </w:rPr>
              <w:t>不合格</w:t>
            </w:r>
          </w:p>
        </w:tc>
        <w:tc>
          <w:p w14:paraId="2EC0003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未评估</w:t>
            </w:r>
          </w:p>
        </w:tc>
        <w:tc>
          <w:p w14:paraId="6D98C1F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需注意</w:t>
            </w:r>
          </w:p>
        </w:tc>
      </w:tr>
    </w:tbl>
    <w:p w14:paraId="4CB8FEA5">
      <w:pPr>
        <w:pStyle w:val="3"/>
        <w:spacing w:after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问题诊断与改进方案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75"/>
        <w:gridCol w:w="2852"/>
        <w:gridCol w:w="5777"/>
      </w:tblGrid>
      <w:tr w14:paraId="5C8D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969" w:type="pct"/>
          </w:tcPr>
          <w:p w14:paraId="1A59778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问题类别</w:t>
            </w:r>
          </w:p>
        </w:tc>
        <w:tc>
          <w:tcPr>
            <w:tcW w:w="1332" w:type="pct"/>
          </w:tcPr>
          <w:p w14:paraId="256DAA4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具体表现</w:t>
            </w:r>
          </w:p>
        </w:tc>
        <w:tc>
          <w:tcPr>
            <w:tcW w:w="2698" w:type="pct"/>
          </w:tcPr>
          <w:p w14:paraId="3CEBE09F">
            <w:pPr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改进方案</w:t>
            </w:r>
          </w:p>
        </w:tc>
      </w:tr>
      <w:tr w14:paraId="5A85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69" w:type="pct"/>
          </w:tcPr>
          <w:p w14:paraId="7F6A69B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参数设置问题</w:t>
            </w:r>
          </w:p>
        </w:tc>
        <w:tc>
          <w:tcPr>
            <w:tcW w:w="1332" w:type="pct"/>
          </w:tcPr>
          <w:p w14:paraId="4EE85F8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基因预测数量异常</w:t>
            </w:r>
          </w:p>
        </w:tc>
        <w:tc>
          <w:tcPr>
            <w:tcW w:w="2698" w:type="pct"/>
          </w:tcPr>
          <w:p w14:paraId="709E9D6C">
            <w:pPr>
              <w:spacing w:after="100"/>
              <w:jc w:val="left"/>
              <w:rPr>
                <w:rFonts w:hint="eastAsia" w:ascii="微软雅黑" w:hAnsi="微软雅黑" w:eastAsia="微软雅黑" w:cs="微软雅黑"/>
                <w:color w:val="F2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Augustus参数重新优化，增加预测严格度</w:t>
            </w:r>
          </w:p>
        </w:tc>
      </w:tr>
      <w:tr w14:paraId="70FC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69" w:type="pct"/>
          </w:tcPr>
          <w:p w14:paraId="4EDBEB2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模型适配问题</w:t>
            </w:r>
          </w:p>
        </w:tc>
        <w:tc>
          <w:tcPr>
            <w:tcW w:w="1332" w:type="pct"/>
          </w:tcPr>
          <w:p w14:paraId="3FDCCF4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BUSCO完整率过低</w:t>
            </w:r>
          </w:p>
        </w:tc>
        <w:tc>
          <w:tcPr>
            <w:tcW w:w="2698" w:type="pct"/>
          </w:tcPr>
          <w:p w14:paraId="5D909D7D">
            <w:pPr>
              <w:jc w:val="left"/>
              <w:rPr>
                <w:rFonts w:hint="eastAsia" w:ascii="微软雅黑" w:hAnsi="微软雅黑" w:eastAsia="微软雅黑" w:cs="微软雅黑"/>
                <w:color w:val="F2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整合多工具预测结果</w:t>
            </w:r>
          </w:p>
        </w:tc>
      </w:tr>
      <w:tr w14:paraId="4A9B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69" w:type="pct"/>
          </w:tcPr>
          <w:p w14:paraId="55DA829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数据质量问题</w:t>
            </w:r>
          </w:p>
        </w:tc>
        <w:tc>
          <w:tcPr>
            <w:tcW w:w="1332" w:type="pct"/>
          </w:tcPr>
          <w:p w14:paraId="1BD54ABF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转录本数量异常</w:t>
            </w:r>
          </w:p>
        </w:tc>
        <w:tc>
          <w:tcPr>
            <w:tcW w:w="2698" w:type="pct"/>
          </w:tcPr>
          <w:p w14:paraId="4A51FBDB">
            <w:pPr>
              <w:spacing w:after="100"/>
              <w:jc w:val="left"/>
              <w:rPr>
                <w:rFonts w:hint="eastAsia" w:ascii="微软雅黑" w:hAnsi="微软雅黑" w:eastAsia="微软雅黑" w:cs="微软雅黑"/>
                <w:color w:val="F2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建立标准化质量控制流程</w:t>
            </w:r>
          </w:p>
        </w:tc>
      </w:tr>
      <w:tr w14:paraId="0459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69" w:type="pct"/>
          </w:tcPr>
          <w:p w14:paraId="726DFEFC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流程优化问题</w:t>
            </w:r>
          </w:p>
        </w:tc>
        <w:tc>
          <w:tcPr>
            <w:tcW w:w="1332" w:type="pct"/>
          </w:tcPr>
          <w:p w14:paraId="48611BB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缺乏多证据整合</w:t>
            </w:r>
          </w:p>
        </w:tc>
        <w:tc>
          <w:tcPr>
            <w:tcW w:w="2698" w:type="pct"/>
          </w:tcPr>
          <w:p w14:paraId="596907AB">
            <w:pPr>
              <w:jc w:val="left"/>
              <w:rPr>
                <w:rFonts w:hint="eastAsia" w:ascii="微软雅黑" w:hAnsi="微软雅黑" w:eastAsia="微软雅黑" w:cs="微软雅黑"/>
                <w:color w:val="F2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引入RNA-seq转录组数据作为外部证据</w:t>
            </w:r>
          </w:p>
        </w:tc>
      </w:tr>
    </w:tbl>
    <w:p w14:paraId="42843B50">
      <w:pPr>
        <w:pStyle w:val="3"/>
        <w:spacing w:after="20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实验流程以及结果文件 ：</w:t>
      </w:r>
    </w:p>
    <w:p w14:paraId="25BB547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拟南芥注释流程：</w:t>
      </w:r>
    </w:p>
    <w:p w14:paraId="7E0678DC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步骤1：重复序列屏蔽</w:t>
      </w:r>
    </w:p>
    <w:p w14:paraId="7AE17D17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bCs/>
        </w:rPr>
      </w:pPr>
      <w:r>
        <w:drawing>
          <wp:inline distT="0" distB="0" distL="114300" distR="114300">
            <wp:extent cx="6210300" cy="289560"/>
            <wp:effectExtent l="0" t="0" r="7620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8357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步骤2：基因结构预测</w:t>
      </w:r>
    </w:p>
    <w:p w14:paraId="6E0E0C80">
      <w:pPr>
        <w:spacing w:after="120" w:line="240" w:lineRule="auto"/>
        <w:jc w:val="left"/>
      </w:pPr>
      <w:r>
        <w:drawing>
          <wp:inline distT="0" distB="0" distL="114300" distR="114300">
            <wp:extent cx="6156960" cy="3048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ED20">
      <w:pPr>
        <w:spacing w:after="12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步骤3：蛋白质序列提取</w:t>
      </w:r>
    </w:p>
    <w:p w14:paraId="48CDA3CC">
      <w:pPr>
        <w:spacing w:after="120" w:line="240" w:lineRule="auto"/>
        <w:jc w:val="left"/>
      </w:pPr>
      <w:r>
        <w:drawing>
          <wp:inline distT="0" distB="0" distL="114300" distR="114300">
            <wp:extent cx="6225540" cy="297180"/>
            <wp:effectExtent l="0" t="0" r="7620" b="762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82F8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步骤4：完整性评估</w:t>
      </w:r>
    </w:p>
    <w:p w14:paraId="46B7D552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bCs/>
        </w:rPr>
      </w:pPr>
      <w:r>
        <w:drawing>
          <wp:inline distT="0" distB="0" distL="114300" distR="114300">
            <wp:extent cx="6126480" cy="297180"/>
            <wp:effectExtent l="0" t="0" r="0" b="762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35C6">
      <w:pPr>
        <w:pStyle w:val="5"/>
        <w:bidi w:val="0"/>
        <w:rPr>
          <w:rFonts w:hint="eastAsia" w:eastAsia="宋体"/>
          <w:lang w:eastAsia="zh-CN"/>
        </w:rPr>
      </w:pPr>
      <w:r>
        <w:rPr>
          <w:rFonts w:hint="eastAsia"/>
        </w:rPr>
        <w:t>大肠杆菌注释流程</w:t>
      </w:r>
      <w:r>
        <w:rPr>
          <w:rFonts w:hint="eastAsia"/>
          <w:lang w:eastAsia="zh-CN"/>
        </w:rPr>
        <w:t>：</w:t>
      </w:r>
    </w:p>
    <w:p w14:paraId="510E5A1E">
      <w:pPr>
        <w:spacing w:after="120"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使用Proksee在线平台的Prokka工具进行自动注释。</w:t>
      </w:r>
    </w:p>
    <w:p w14:paraId="1209163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结果文件：</w:t>
      </w:r>
    </w:p>
    <w:p w14:paraId="7A9AD70F">
      <w:pPr>
        <w:pStyle w:val="3"/>
        <w:spacing w:after="200"/>
        <w:jc w:val="left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drawing>
          <wp:inline distT="0" distB="0" distL="114300" distR="114300">
            <wp:extent cx="4084955" cy="2446020"/>
            <wp:effectExtent l="0" t="0" r="1460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5779">
      <w:pPr>
        <w:pBdr>
          <w:bottom w:val="single" w:color="auto" w:sz="6" w:space="1"/>
        </w:pBdr>
        <w:spacing w:after="120"/>
        <w:jc w:val="left"/>
        <w:rPr>
          <w:rFonts w:hint="eastAsia" w:ascii="微软雅黑" w:hAnsi="微软雅黑" w:eastAsia="微软雅黑" w:cs="微软雅黑"/>
        </w:rPr>
      </w:pPr>
    </w:p>
    <w:p w14:paraId="345EA84F">
      <w:pPr>
        <w:spacing w:after="12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报告生成时间</w:t>
      </w:r>
      <w:r>
        <w:rPr>
          <w:rFonts w:hint="eastAsia" w:ascii="微软雅黑" w:hAnsi="微软雅黑" w:eastAsia="微软雅黑" w:cs="微软雅黑"/>
        </w:rPr>
        <w:t>：2025年11月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10日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716E9D"/>
    <w:rsid w:val="08E92ED7"/>
    <w:rsid w:val="0E857761"/>
    <w:rsid w:val="148B7538"/>
    <w:rsid w:val="682804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rPr>
      <w:b/>
      <w:bCs/>
      <w:color w:val="000000"/>
      <w:sz w:val="20"/>
      <w:szCs w:val="2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note text"/>
    <w:link w:val="1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2292</Words>
  <Characters>3660</Characters>
  <TotalTime>8</TotalTime>
  <ScaleCrop>false</ScaleCrop>
  <LinksUpToDate>false</LinksUpToDate>
  <CharactersWithSpaces>3730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2025-11-09T14:25:00Z</dcterms:created>
  <dc:creator>Un-named</dc:creator>
  <cp:lastModifiedBy>仏系少女</cp:lastModifiedBy>
  <dcterms:modified xsi:type="dcterms:W3CDTF">2025-11-10T02:02:30Z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eyJoZGlkIjoiMzU4ZGZmMWU5MzBiNTExODQ5ZDVhZDA5ZmIwMzJiZjYiLCJ1c2VySWQiOiI0MjQwMzc4MzkifQ==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F572F22562694D98B7FF132F125B503E_12</vt:lpwstr>
  </property>
</Properties>
</file>