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rPr>
          <w:i w:val="0"/>
          <w:iCs w:val="0"/>
          <w:sz w:val="34"/>
          <w:szCs w:val="34"/>
        </w:rPr>
      </w:pPr>
      <w:bookmarkStart w:colFirst="0" w:colLast="0" w:name="_a8xzs1vphpx0" w:id="0"/>
      <w:bookmarkEnd w:id="0"/>
      <w:r w:rsidDel="00000000" w:rsidR="00000000" w:rsidRPr="00000000">
        <w:rPr>
          <w:i w:val="0"/>
          <w:iCs w:val="0"/>
          <w:sz w:val="34"/>
          <w:szCs w:val="34"/>
          <w:rtl w:val="0"/>
        </w:rPr>
        <w:t xml:space="preserve">The Unified FP:FN Ratio Explained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b32bqxj1uq5t" w:id="1"/>
      <w:bookmarkEnd w:id="1"/>
      <w:r w:rsidDel="00000000" w:rsidR="00000000" w:rsidRPr="00000000">
        <w:rPr>
          <w:sz w:val="26"/>
          <w:szCs w:val="26"/>
          <w:rtl w:val="0"/>
        </w:rPr>
        <w:t xml:space="preserve">The Problem: Two Question Formats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answer one of two questions depending on their initial choice: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they chose FP as more acceptable: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"It is acceptable for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uninfected persons to incorrectly test positive so that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infected person does not incorrectly test negative."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they chose FN as more acceptable: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"It is acceptable for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infected persons to incorrectly test negative so that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uninfected person does not incorrectly test positive."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i w:val="1"/>
          <w:iCs w:val="1"/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framings. We need a single scale to compare everyone.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gpllt191e6bj" w:id="2"/>
      <w:bookmarkEnd w:id="2"/>
      <w:r w:rsidDel="00000000" w:rsidR="00000000" w:rsidRPr="00000000">
        <w:rPr>
          <w:sz w:val="26"/>
          <w:szCs w:val="26"/>
          <w:rtl w:val="0"/>
        </w:rPr>
        <w:t xml:space="preserve">The Solution: Express Everything as FP:FN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unified ratio answers: </w:t>
      </w:r>
      <w:r w:rsidDel="00000000" w:rsidR="00000000" w:rsidRPr="00000000">
        <w:rPr>
          <w:b w:val="1"/>
          <w:bCs w:val="1"/>
          <w:rtl w:val="0"/>
        </w:rPr>
        <w:t xml:space="preserve">"How many false positives would you accept per false negative avoided?"</w:t>
      </w:r>
    </w:p>
    <w:tbl>
      <w:tblPr>
        <w:tblStyle w:val="Table1"/>
        <w:tblW w:w="8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325"/>
        <w:gridCol w:w="3050"/>
        <w:gridCol w:w="2345"/>
        <w:tblGridChange w:id="0">
          <w:tblGrid>
            <w:gridCol w:w="2165"/>
            <w:gridCol w:w="1325"/>
            <w:gridCol w:w="305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Unified FP:FN Ratio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FP more acceptable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X =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Accept 100 FP to avoid 1 FN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FN more acceptable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X =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Accept 100 FN to avoid 1 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1/100 = 0.01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transformation: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Chose FP → ratio = X</w:t>
      </w:r>
      <w:r w:rsidDel="00000000" w:rsidR="00000000" w:rsidRPr="00000000">
        <w:rPr>
          <w:rtl w:val="0"/>
        </w:rPr>
        <w:t xml:space="preserve"> (direct)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Chose FN → ratio = 1/X</w:t>
      </w:r>
      <w:r w:rsidDel="00000000" w:rsidR="00000000" w:rsidRPr="00000000">
        <w:rPr>
          <w:rtl w:val="0"/>
        </w:rPr>
        <w:t xml:space="preserve"> (reciprocal)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5bhj9qujxtb9" w:id="3"/>
      <w:bookmarkEnd w:id="3"/>
      <w:r w:rsidDel="00000000" w:rsidR="00000000" w:rsidRPr="00000000">
        <w:rPr>
          <w:sz w:val="26"/>
          <w:szCs w:val="26"/>
          <w:rtl w:val="0"/>
        </w:rPr>
        <w:t xml:space="preserve">Interpretation</w:t>
      </w:r>
    </w:p>
    <w:tbl>
      <w:tblPr>
        <w:tblStyle w:val="Table2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250"/>
        <w:gridCol w:w="7025"/>
        <w:tblGridChange w:id="0">
          <w:tblGrid>
            <w:gridCol w:w="785"/>
            <w:gridCol w:w="1250"/>
            <w:gridCol w:w="7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Strongly miss-averse (catch every threat, tolerate many false alarms)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Moderately miss-averse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Neutral (errors equally costly)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Moderately false-alarm-averse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Strongly false-alarm-averse (protect innocents, tolerate missed threats)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Rule="auto"/>
        <w:ind w:firstLine="0"/>
        <w:rPr>
          <w:sz w:val="26"/>
          <w:szCs w:val="26"/>
        </w:rPr>
      </w:pPr>
      <w:bookmarkStart w:colFirst="0" w:colLast="0" w:name="_6bqwgcy9pcci" w:id="4"/>
      <w:bookmarkEnd w:id="4"/>
      <w:r w:rsidDel="00000000" w:rsidR="00000000" w:rsidRPr="00000000">
        <w:rPr>
          <w:sz w:val="26"/>
          <w:szCs w:val="26"/>
          <w:rtl w:val="0"/>
        </w:rPr>
        <w:t xml:space="preserve">Connection to SDT and Your Hypotheses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ratio is conceptually equivalent to the </w:t>
      </w:r>
      <w:r w:rsidDel="00000000" w:rsidR="00000000" w:rsidRPr="00000000">
        <w:rPr>
          <w:b w:val="1"/>
          <w:bCs w:val="1"/>
          <w:rtl w:val="0"/>
        </w:rPr>
        <w:t xml:space="preserve">likelihood ratio criterion (β)</w:t>
      </w:r>
      <w:r w:rsidDel="00000000" w:rsidR="00000000" w:rsidRPr="00000000">
        <w:rPr>
          <w:rtl w:val="0"/>
        </w:rPr>
        <w:t xml:space="preserve"> in signal detection theory. In SDT: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$$\beta = \frac{P(\text{response} | \text{noise})}{P(\text{response} | \text{signal})} = \frac{\text{cost of FN}}{\text{cost of FP}}$$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ratio captures the inverse—</w:t>
      </w:r>
      <w:r w:rsidDel="00000000" w:rsidR="00000000" w:rsidRPr="00000000">
        <w:rPr>
          <w:b w:val="1"/>
          <w:bCs w:val="1"/>
          <w:rtl w:val="0"/>
        </w:rPr>
        <w:t xml:space="preserve">tolerance</w:t>
      </w:r>
      <w:r w:rsidDel="00000000" w:rsidR="00000000" w:rsidRPr="00000000">
        <w:rPr>
          <w:rtl w:val="0"/>
        </w:rPr>
        <w:t xml:space="preserve"> rather than cost—but maps onto the same decision threshold concept. Someone with a high FP:FN ratio has a </w:t>
      </w:r>
      <w:r w:rsidDel="00000000" w:rsidR="00000000" w:rsidRPr="00000000">
        <w:rPr>
          <w:i w:val="1"/>
          <w:iCs w:val="1"/>
          <w:rtl w:val="0"/>
        </w:rPr>
        <w:t xml:space="preserve">liberal</w:t>
      </w:r>
      <w:r w:rsidDel="00000000" w:rsidR="00000000" w:rsidRPr="00000000">
        <w:rPr>
          <w:rtl w:val="0"/>
        </w:rPr>
        <w:t xml:space="preserve"> criterion (says "yes" more, catches more signals, but also more false alarms). Someone with a low ratio has a </w:t>
      </w:r>
      <w:r w:rsidDel="00000000" w:rsidR="00000000" w:rsidRPr="00000000">
        <w:rPr>
          <w:i w:val="1"/>
          <w:iCs w:val="1"/>
          <w:rtl w:val="0"/>
        </w:rPr>
        <w:t xml:space="preserve">conservative</w:t>
      </w:r>
      <w:r w:rsidDel="00000000" w:rsidR="00000000" w:rsidRPr="00000000">
        <w:rPr>
          <w:rtl w:val="0"/>
        </w:rPr>
        <w:t xml:space="preserve"> criterion.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supports </w:t>
      </w:r>
      <w:r w:rsidDel="00000000" w:rsidR="00000000" w:rsidRPr="00000000">
        <w:rPr>
          <w:b w:val="1"/>
          <w:bCs w:val="1"/>
          <w:rtl w:val="0"/>
        </w:rPr>
        <w:t xml:space="preserve">H1B</w:t>
      </w:r>
      <w:r w:rsidDel="00000000" w:rsidR="00000000" w:rsidRPr="00000000">
        <w:rPr>
          <w:rFonts w:ascii="Cardo" w:cs="Cardo" w:eastAsia="Cardo" w:hAnsi="Cardo"/>
          <w:rtl w:val="0"/>
        </w:rPr>
        <w:t xml:space="preserve"> (thresholds → preferences): if ideology maps onto systematic error-tolerance patterns, you'd expect: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Conservatives on crime/immigration/voting: lower ratios (protect against threats, tolerate excluding innocents)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Liberals on crime/immigration/voting: higher ratios (protect innocents, tolerate some missed threats)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 transformation makes the scale symmetric and suitable for linear regression—a one-unit change always represents a 10× shift in error tolerance, regardless of direction.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Garamond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ind w:firstLine="72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Garamond-regular.ttf"/><Relationship Id="rId5" Type="http://schemas.openxmlformats.org/officeDocument/2006/relationships/font" Target="fonts/Garamond-bold.ttf"/><Relationship Id="rId6" Type="http://schemas.openxmlformats.org/officeDocument/2006/relationships/font" Target="fonts/Garamond-italic.ttf"/><Relationship Id="rId7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