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Rational/Attention Check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key attention </w:t>
      </w:r>
      <w:r w:rsidDel="00000000" w:rsidR="00000000" w:rsidRPr="00000000">
        <w:rPr>
          <w:b w:val="1"/>
          <w:bCs w:val="1"/>
          <w:rtl w:val="0"/>
        </w:rPr>
        <w:t xml:space="preserve">flags</w:t>
      </w:r>
      <w:r w:rsidDel="00000000" w:rsidR="00000000" w:rsidRPr="00000000">
        <w:rPr>
          <w:rtl w:val="0"/>
        </w:rPr>
        <w:t xml:space="preserve"> are: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Invalid responses — anything other than 3 or 4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Multiple switches — more than one A↔B transition indicates inattention or misunderstanding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Backward switches — switching from B→A is economically irrational (Option B becomes strictly better in expectation as you move down)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Alternating patterns — high-frequency jumping (≥3 switches) suggests random clicking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 fast — completing 10 lottery decisions in under 15 seconds suggests not reading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Weight the flags:</w:t>
      </w:r>
      <w:r w:rsidDel="00000000" w:rsidR="00000000" w:rsidRPr="00000000">
        <w:rPr>
          <w:rtl w:val="0"/>
        </w:rPr>
        <w:br w:type="textWrapping"/>
        <w:t xml:space="preserve">1. Adds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risk_inattention_scale</w:t>
      </w:r>
      <w:r w:rsidDel="00000000" w:rsidR="00000000" w:rsidRPr="00000000">
        <w:rPr>
          <w:b w:val="1"/>
          <w:bCs w:val="1"/>
          <w:rtl w:val="0"/>
        </w:rPr>
        <w:t xml:space="preserve"> (0-5.5 range)</w:t>
      </w:r>
      <w:r w:rsidDel="00000000" w:rsidR="00000000" w:rsidRPr="00000000">
        <w:rPr>
          <w:rtl w:val="0"/>
        </w:rPr>
        <w:t xml:space="preserve"> that combines multiple indicators with weighted scoring: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Backward switch: 2 points (clearly irrational—Option B becomes objectively better as you move down)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switches: 1 point (violates monotonicity)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Alternating pattern: 1 point (random clicking behavior)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 fast: 1 point (didn't read)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same response: 0.5 points (suspicious but theoretically possible for extreme risk preferences)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Adds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risk_attention_flag</w:t>
      </w:r>
      <w:r w:rsidDel="00000000" w:rsidR="00000000" w:rsidRPr="00000000">
        <w:rPr>
          <w:rtl w:val="0"/>
        </w:rPr>
        <w:t xml:space="preserve"> as a binary indicator for anyone scoring &gt;1 on the scale.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Core Measures:</w:t>
      </w:r>
    </w:p>
    <w:tbl>
      <w:tblPr>
        <w:tblStyle w:val="Table1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3230"/>
        <w:gridCol w:w="3695"/>
        <w:tblGridChange w:id="0">
          <w:tblGrid>
            <w:gridCol w:w="2690"/>
            <w:gridCol w:w="3230"/>
            <w:gridCol w:w="369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risk_switch_point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Row where first chose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0-11 (0=always B, 11=always A)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risk_num_safe_choices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Count of Option A choices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0-10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risk_preference_score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Normalized risk aversion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0-1 (0=seeking, 1=averse)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risk_crra_estimate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CRRA coefficient estimate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-1.5 to 2.0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risk_consistent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Monotonic response 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Categorical:</w:t>
      </w:r>
    </w:p>
    <w:tbl>
      <w:tblPr>
        <w:tblStyle w:val="Table2"/>
        <w:tblW w:w="9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7460"/>
        <w:tblGridChange w:id="0">
          <w:tblGrid>
            <w:gridCol w:w="1985"/>
            <w:gridCol w:w="746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risk_category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6-level classification (highly_risk_seeking → highly_risk_averse)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risk_is_seeking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Switch point ≤ 3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risk_is_neutral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Switch point 4-5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risk_is_averse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Switch point ≥ 6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Derived Measures:</w:t>
      </w:r>
    </w:p>
    <w:tbl>
      <w:tblPr>
        <w:tblStyle w:val="Table3"/>
        <w:tblW w:w="8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5510"/>
        <w:tblGridChange w:id="0">
          <w:tblGrid>
            <w:gridCol w:w="3395"/>
            <w:gridCol w:w="551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risk_deviation_from_neutral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Signed deviation from risk-neutral (switch=5)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risk_extreme_seeking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Always/almost always chose B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risk_extreme_averse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Always/almost always chose A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risk_is_extreme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Either extreme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expected value crossover is between rows 4-5, so risk-neutral agents should switch at row 5. The CRRA estimates follow the Holt-Laury (2002) methodology.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the SDT research,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risk_crra_estimate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risk_deviation_from_neutral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would work well as continuous covariates, while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risk_category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gives interpretable groups.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risk_consistent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flag helps distinguish reliable preferences from noisy responses.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372274" cy="3924486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2274" cy="3924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227258" cy="265555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7258" cy="2655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415088" cy="22691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129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5088" cy="2269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331990" cy="389912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1990" cy="3899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7350621" cy="402085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0621" cy="4020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Garamond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aramond" w:cs="Garamond" w:eastAsia="Garamond" w:hAnsi="Garamond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ind w:firstLine="72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Garamond-regular.ttf"/><Relationship Id="rId5" Type="http://schemas.openxmlformats.org/officeDocument/2006/relationships/font" Target="fonts/Garamond-bold.ttf"/><Relationship Id="rId6" Type="http://schemas.openxmlformats.org/officeDocument/2006/relationships/font" Target="fonts/Garamond-italic.ttf"/><Relationship Id="rId7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