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EFB98">
      <w:pPr>
        <w:jc w:val="center"/>
        <w:rPr>
          <w:rFonts w:hint="eastAsia" w:ascii="黑体" w:hAnsi="黑体" w:eastAsia="黑体" w:cs="黑体"/>
          <w:sz w:val="48"/>
          <w:szCs w:val="48"/>
        </w:rPr>
      </w:pPr>
    </w:p>
    <w:p w14:paraId="5A787052">
      <w:pPr>
        <w:jc w:val="center"/>
        <w:rPr>
          <w:rFonts w:hint="eastAsia" w:ascii="黑体" w:hAnsi="黑体" w:eastAsia="黑体" w:cs="黑体"/>
          <w:sz w:val="48"/>
          <w:szCs w:val="48"/>
        </w:rPr>
      </w:pPr>
    </w:p>
    <w:p w14:paraId="1B662047">
      <w:pPr>
        <w:jc w:val="both"/>
        <w:rPr>
          <w:rFonts w:hint="eastAsia" w:ascii="黑体" w:hAnsi="黑体" w:eastAsia="黑体" w:cs="黑体"/>
          <w:sz w:val="48"/>
          <w:szCs w:val="48"/>
        </w:rPr>
      </w:pPr>
    </w:p>
    <w:p w14:paraId="5132FBDF">
      <w:pPr>
        <w:jc w:val="center"/>
        <w:rPr>
          <w:rFonts w:hint="eastAsia" w:ascii="方正小标宋简体" w:hAnsi="方正小标宋简体" w:eastAsia="方正小标宋简体"/>
          <w:b/>
          <w:sz w:val="48"/>
          <w:lang w:eastAsia="zh-CN"/>
        </w:rPr>
      </w:pPr>
      <w:r>
        <w:rPr>
          <w:rFonts w:hint="eastAsia" w:ascii="方正小标宋简体" w:hAnsi="方正小标宋简体" w:eastAsia="方正小标宋简体"/>
          <w:b/>
          <w:sz w:val="48"/>
          <w:lang w:eastAsia="zh-CN"/>
        </w:rPr>
        <w:drawing>
          <wp:inline distT="0" distB="0" distL="114300" distR="114300">
            <wp:extent cx="2740660" cy="2740660"/>
            <wp:effectExtent l="0" t="0" r="2540" b="254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6">
                      <a:clrChange>
                        <a:clrFrom>
                          <a:srgbClr val="FCFCFC">
                            <a:alpha val="100000"/>
                          </a:srgbClr>
                        </a:clrFrom>
                        <a:clrTo>
                          <a:srgbClr val="FCFCFC">
                            <a:alpha val="100000"/>
                            <a:alpha val="0"/>
                          </a:srgbClr>
                        </a:clrTo>
                      </a:clrChange>
                    </a:blip>
                    <a:stretch>
                      <a:fillRect/>
                    </a:stretch>
                  </pic:blipFill>
                  <pic:spPr>
                    <a:xfrm>
                      <a:off x="0" y="0"/>
                      <a:ext cx="2740660" cy="2740660"/>
                    </a:xfrm>
                    <a:prstGeom prst="rect">
                      <a:avLst/>
                    </a:prstGeom>
                  </pic:spPr>
                </pic:pic>
              </a:graphicData>
            </a:graphic>
          </wp:inline>
        </w:drawing>
      </w:r>
    </w:p>
    <w:p w14:paraId="430E1871">
      <w:pPr>
        <w:jc w:val="center"/>
        <w:rPr>
          <w:rFonts w:hint="eastAsia" w:ascii="黑体" w:hAnsi="黑体" w:eastAsia="黑体" w:cs="黑体"/>
          <w:sz w:val="48"/>
          <w:szCs w:val="48"/>
        </w:rPr>
      </w:pPr>
      <w:r>
        <w:rPr>
          <w:rFonts w:hint="eastAsia" w:ascii="黑体" w:hAnsi="黑体" w:eastAsia="黑体" w:cs="黑体"/>
          <w:sz w:val="48"/>
          <w:szCs w:val="48"/>
        </w:rPr>
        <w:t>全国大学生</w:t>
      </w:r>
    </w:p>
    <w:p w14:paraId="245A254C">
      <w:pPr>
        <w:jc w:val="center"/>
        <w:rPr>
          <w:rFonts w:hint="eastAsia" w:ascii="黑体" w:hAnsi="黑体" w:eastAsia="黑体" w:cs="黑体"/>
          <w:sz w:val="48"/>
          <w:szCs w:val="48"/>
        </w:rPr>
      </w:pPr>
      <w:r>
        <w:rPr>
          <w:rFonts w:hint="eastAsia" w:ascii="黑体" w:hAnsi="黑体" w:eastAsia="黑体" w:cs="黑体"/>
          <w:sz w:val="48"/>
          <w:szCs w:val="48"/>
        </w:rPr>
        <w:t>智能应用开发大赛</w:t>
      </w:r>
    </w:p>
    <w:p w14:paraId="3A5AFEA0">
      <w:pPr>
        <w:jc w:val="center"/>
        <w:rPr>
          <w:rFonts w:hint="eastAsia" w:ascii="方正楷体_GB2312" w:hAnsi="方正楷体_GB2312" w:eastAsia="方正楷体_GB2312" w:cs="方正楷体_GB2312"/>
          <w:sz w:val="48"/>
          <w:szCs w:val="48"/>
        </w:rPr>
      </w:pPr>
      <w:r>
        <w:rPr>
          <w:rFonts w:hint="eastAsia" w:ascii="方正楷体_GB2312" w:hAnsi="方正楷体_GB2312" w:eastAsia="方正楷体_GB2312" w:cs="方正楷体_GB2312"/>
          <w:sz w:val="48"/>
          <w:szCs w:val="48"/>
        </w:rPr>
        <w:t>执行方案</w:t>
      </w:r>
    </w:p>
    <w:p w14:paraId="37B0E82E">
      <w:pPr>
        <w:jc w:val="center"/>
        <w:rPr>
          <w:rFonts w:hint="eastAsia"/>
        </w:rPr>
      </w:pP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7"/>
        <w:gridCol w:w="2380"/>
        <w:gridCol w:w="596"/>
        <w:gridCol w:w="2652"/>
        <w:gridCol w:w="1243"/>
      </w:tblGrid>
      <w:tr w14:paraId="2D0F8EDB">
        <w:trPr>
          <w:trHeight w:val="439" w:hRule="atLeast"/>
        </w:trPr>
        <w:tc>
          <w:tcPr>
            <w:tcW w:w="1647" w:type="dxa"/>
            <w:tcBorders>
              <w:top w:val="nil"/>
              <w:left w:val="nil"/>
              <w:bottom w:val="nil"/>
              <w:right w:val="nil"/>
            </w:tcBorders>
          </w:tcPr>
          <w:p w14:paraId="175D91F6">
            <w:pPr>
              <w:spacing w:line="240" w:lineRule="auto"/>
              <w:rPr>
                <w:rFonts w:hint="eastAsia"/>
                <w:vertAlign w:val="baseline"/>
              </w:rPr>
            </w:pPr>
          </w:p>
        </w:tc>
        <w:tc>
          <w:tcPr>
            <w:tcW w:w="2380" w:type="dxa"/>
            <w:tcBorders>
              <w:top w:val="nil"/>
              <w:left w:val="nil"/>
              <w:bottom w:val="nil"/>
              <w:right w:val="nil"/>
            </w:tcBorders>
          </w:tcPr>
          <w:p w14:paraId="3023EB22">
            <w:pPr>
              <w:spacing w:line="240" w:lineRule="auto"/>
              <w:jc w:val="distribute"/>
              <w:rPr>
                <w:rFonts w:hint="eastAsia" w:ascii="方正仿宋_GB2312" w:hAnsi="方正仿宋_GB2312" w:eastAsia="方正仿宋_GB2312" w:cs="方正仿宋_GB2312"/>
                <w:sz w:val="28"/>
                <w:szCs w:val="28"/>
                <w:vertAlign w:val="baseline"/>
              </w:rPr>
            </w:pPr>
          </w:p>
        </w:tc>
        <w:tc>
          <w:tcPr>
            <w:tcW w:w="596" w:type="dxa"/>
            <w:tcBorders>
              <w:top w:val="nil"/>
              <w:left w:val="nil"/>
              <w:bottom w:val="nil"/>
              <w:right w:val="nil"/>
            </w:tcBorders>
          </w:tcPr>
          <w:p w14:paraId="58D226D2">
            <w:pPr>
              <w:spacing w:line="240" w:lineRule="auto"/>
              <w:rPr>
                <w:rFonts w:hint="eastAsia" w:ascii="方正仿宋_GB2312" w:hAnsi="方正仿宋_GB2312" w:eastAsia="方正仿宋_GB2312" w:cs="方正仿宋_GB2312"/>
                <w:sz w:val="28"/>
                <w:szCs w:val="28"/>
                <w:vertAlign w:val="baseline"/>
              </w:rPr>
            </w:pPr>
          </w:p>
        </w:tc>
        <w:tc>
          <w:tcPr>
            <w:tcW w:w="2652" w:type="dxa"/>
            <w:tcBorders>
              <w:top w:val="nil"/>
              <w:left w:val="nil"/>
              <w:bottom w:val="nil"/>
              <w:right w:val="nil"/>
            </w:tcBorders>
          </w:tcPr>
          <w:p w14:paraId="3118DCF2">
            <w:pPr>
              <w:spacing w:line="240" w:lineRule="auto"/>
              <w:rPr>
                <w:rFonts w:hint="eastAsia" w:ascii="方正仿宋_GB2312" w:hAnsi="方正仿宋_GB2312" w:eastAsia="方正仿宋_GB2312" w:cs="方正仿宋_GB2312"/>
                <w:sz w:val="28"/>
                <w:szCs w:val="28"/>
                <w:vertAlign w:val="baseline"/>
              </w:rPr>
            </w:pPr>
          </w:p>
        </w:tc>
        <w:tc>
          <w:tcPr>
            <w:tcW w:w="1243" w:type="dxa"/>
            <w:tcBorders>
              <w:top w:val="nil"/>
              <w:left w:val="nil"/>
              <w:bottom w:val="nil"/>
              <w:right w:val="nil"/>
            </w:tcBorders>
          </w:tcPr>
          <w:p w14:paraId="14CE6F53">
            <w:pPr>
              <w:spacing w:line="240" w:lineRule="auto"/>
              <w:rPr>
                <w:rFonts w:hint="eastAsia"/>
                <w:vertAlign w:val="baseline"/>
              </w:rPr>
            </w:pPr>
          </w:p>
        </w:tc>
      </w:tr>
      <w:tr w14:paraId="2D0A46C9">
        <w:tc>
          <w:tcPr>
            <w:tcW w:w="1647" w:type="dxa"/>
            <w:tcBorders>
              <w:top w:val="nil"/>
              <w:left w:val="nil"/>
              <w:bottom w:val="nil"/>
              <w:right w:val="nil"/>
            </w:tcBorders>
          </w:tcPr>
          <w:p w14:paraId="7734A1B5">
            <w:pPr>
              <w:spacing w:line="240" w:lineRule="auto"/>
              <w:rPr>
                <w:rFonts w:hint="eastAsia"/>
                <w:sz w:val="32"/>
                <w:szCs w:val="32"/>
                <w:vertAlign w:val="baseline"/>
              </w:rPr>
            </w:pPr>
          </w:p>
        </w:tc>
        <w:tc>
          <w:tcPr>
            <w:tcW w:w="2380" w:type="dxa"/>
            <w:tcBorders>
              <w:top w:val="nil"/>
              <w:left w:val="nil"/>
              <w:bottom w:val="nil"/>
              <w:right w:val="nil"/>
            </w:tcBorders>
          </w:tcPr>
          <w:p w14:paraId="0CDAD13A">
            <w:pPr>
              <w:spacing w:line="240" w:lineRule="auto"/>
              <w:jc w:val="distribute"/>
              <w:rPr>
                <w:rFonts w:hint="eastAsia" w:ascii="方正仿宋_GB2312" w:hAnsi="方正仿宋_GB2312" w:eastAsia="方正仿宋_GB2312" w:cs="方正仿宋_GB2312"/>
                <w:sz w:val="32"/>
                <w:szCs w:val="32"/>
                <w:vertAlign w:val="baseline"/>
              </w:rPr>
            </w:pPr>
            <w:r>
              <w:rPr>
                <w:rFonts w:hint="eastAsia" w:ascii="方正仿宋_GB2312" w:hAnsi="方正仿宋_GB2312" w:eastAsia="方正仿宋_GB2312" w:cs="方正仿宋_GB2312"/>
                <w:sz w:val="32"/>
                <w:szCs w:val="32"/>
              </w:rPr>
              <w:t>编写时间</w:t>
            </w:r>
          </w:p>
        </w:tc>
        <w:tc>
          <w:tcPr>
            <w:tcW w:w="596" w:type="dxa"/>
            <w:tcBorders>
              <w:top w:val="nil"/>
              <w:left w:val="nil"/>
              <w:bottom w:val="nil"/>
              <w:right w:val="nil"/>
            </w:tcBorders>
          </w:tcPr>
          <w:p w14:paraId="0D1DF6B6">
            <w:pPr>
              <w:spacing w:line="240" w:lineRule="auto"/>
              <w:rPr>
                <w:rFonts w:hint="eastAsia" w:ascii="方正仿宋_GB2312" w:hAnsi="方正仿宋_GB2312" w:eastAsia="方正仿宋_GB2312" w:cs="方正仿宋_GB2312"/>
                <w:sz w:val="32"/>
                <w:szCs w:val="32"/>
                <w:vertAlign w:val="baseline"/>
                <w:lang w:val="en-US" w:eastAsia="zh-CN"/>
              </w:rPr>
            </w:pPr>
            <w:r>
              <w:rPr>
                <w:rFonts w:hint="eastAsia" w:ascii="方正仿宋_GB2312" w:hAnsi="方正仿宋_GB2312" w:eastAsia="方正仿宋_GB2312" w:cs="方正仿宋_GB2312"/>
                <w:sz w:val="32"/>
                <w:szCs w:val="32"/>
                <w:vertAlign w:val="baseline"/>
                <w:lang w:val="en-US" w:eastAsia="zh-CN"/>
              </w:rPr>
              <w:t>：</w:t>
            </w:r>
          </w:p>
        </w:tc>
        <w:tc>
          <w:tcPr>
            <w:tcW w:w="2652" w:type="dxa"/>
            <w:tcBorders>
              <w:top w:val="nil"/>
              <w:left w:val="nil"/>
              <w:bottom w:val="nil"/>
              <w:right w:val="nil"/>
            </w:tcBorders>
          </w:tcPr>
          <w:p w14:paraId="321D5964">
            <w:pPr>
              <w:spacing w:line="240" w:lineRule="auto"/>
              <w:rPr>
                <w:rFonts w:hint="eastAsia" w:ascii="方正仿宋_GB2312" w:hAnsi="方正仿宋_GB2312" w:eastAsia="方正仿宋_GB2312" w:cs="方正仿宋_GB2312"/>
                <w:sz w:val="32"/>
                <w:szCs w:val="32"/>
                <w:vertAlign w:val="baseline"/>
              </w:rPr>
            </w:pPr>
            <w:r>
              <w:rPr>
                <w:rFonts w:hint="eastAsia" w:ascii="方正仿宋_GB2312" w:hAnsi="方正仿宋_GB2312" w:eastAsia="方正仿宋_GB2312" w:cs="方正仿宋_GB2312"/>
                <w:sz w:val="32"/>
                <w:szCs w:val="32"/>
              </w:rPr>
              <w:t>2026年7月1日</w:t>
            </w:r>
          </w:p>
        </w:tc>
        <w:tc>
          <w:tcPr>
            <w:tcW w:w="1243" w:type="dxa"/>
            <w:tcBorders>
              <w:top w:val="nil"/>
              <w:left w:val="nil"/>
              <w:bottom w:val="nil"/>
              <w:right w:val="nil"/>
            </w:tcBorders>
          </w:tcPr>
          <w:p w14:paraId="48B34C48">
            <w:pPr>
              <w:spacing w:line="240" w:lineRule="auto"/>
              <w:rPr>
                <w:rFonts w:hint="eastAsia"/>
                <w:sz w:val="32"/>
                <w:szCs w:val="32"/>
                <w:vertAlign w:val="baseline"/>
              </w:rPr>
            </w:pPr>
          </w:p>
        </w:tc>
      </w:tr>
    </w:tbl>
    <w:p w14:paraId="0BBE5513">
      <w:pPr>
        <w:rPr>
          <w:rFonts w:hint="eastAsia"/>
        </w:rPr>
      </w:pPr>
    </w:p>
    <w:p w14:paraId="210091EF">
      <w:pPr>
        <w:jc w:val="center"/>
        <w:rPr>
          <w:rFonts w:hint="eastAsia" w:ascii="黑体" w:hAnsi="黑体" w:eastAsia="黑体" w:cs="黑体"/>
          <w:sz w:val="40"/>
          <w:szCs w:val="40"/>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907" w:footer="992" w:gutter="0"/>
          <w:cols w:space="425" w:num="1"/>
          <w:titlePg/>
          <w:docGrid w:type="lines" w:linePitch="312" w:charSpace="0"/>
        </w:sectPr>
      </w:pPr>
      <w:r>
        <w:rPr>
          <w:rFonts w:hint="eastAsia"/>
        </w:rPr>
        <w:br w:type="textWrapping"/>
      </w:r>
      <w:r>
        <w:rPr>
          <w:rFonts w:hint="eastAsia"/>
        </w:rPr>
        <w:br w:type="textWrapping"/>
      </w:r>
      <w:r>
        <w:rPr>
          <w:rFonts w:hint="eastAsia" w:ascii="黑体" w:hAnsi="黑体" w:eastAsia="黑体" w:cs="黑体"/>
          <w:sz w:val="40"/>
          <w:szCs w:val="40"/>
        </w:rPr>
        <w:t>二〇二六年五月</w:t>
      </w:r>
    </w:p>
    <w:sdt>
      <w:sdtPr>
        <w:rPr>
          <w:rFonts w:hint="eastAsia" w:ascii="黑体" w:hAnsi="黑体" w:eastAsia="黑体" w:cs="黑体"/>
          <w:kern w:val="2"/>
          <w:sz w:val="21"/>
          <w:szCs w:val="24"/>
          <w:lang w:val="en-US" w:eastAsia="zh-CN" w:bidi="ar-SA"/>
        </w:rPr>
        <w:id w:val="21837553"/>
        <w15:color w:val="DBDBDB"/>
        <w:docPartObj>
          <w:docPartGallery w:val="Table of Contents"/>
          <w:docPartUnique/>
        </w:docPartObj>
      </w:sdtPr>
      <w:sdtEndPr>
        <w:rPr>
          <w:rFonts w:hint="eastAsia" w:ascii="黑体" w:hAnsi="黑体" w:eastAsia="黑体" w:cs="黑体"/>
          <w:kern w:val="2"/>
          <w:sz w:val="21"/>
          <w:szCs w:val="24"/>
          <w:lang w:val="en-US" w:eastAsia="zh-CN" w:bidi="ar-SA"/>
        </w:rPr>
      </w:sdtEndPr>
      <w:sdtContent>
        <w:p w14:paraId="66618F91">
          <w:pPr>
            <w:keepNext w:val="0"/>
            <w:keepLines w:val="0"/>
            <w:pageBreakBefore/>
            <w:kinsoku/>
            <w:wordWrap/>
            <w:overflowPunct/>
            <w:topLinePunct w:val="0"/>
            <w:autoSpaceDE/>
            <w:autoSpaceDN/>
            <w:bidi w:val="0"/>
            <w:adjustRightInd/>
            <w:snapToGrid/>
            <w:spacing w:line="400" w:lineRule="exact"/>
            <w:ind w:left="0" w:leftChars="0" w:right="0" w:rightChars="0" w:firstLine="0" w:firstLineChars="0"/>
            <w:jc w:val="center"/>
            <w:textAlignment w:val="auto"/>
            <w:rPr>
              <w:rFonts w:hint="eastAsia" w:ascii="黑体" w:hAnsi="黑体" w:eastAsia="黑体" w:cs="黑体"/>
              <w:sz w:val="30"/>
              <w:szCs w:val="30"/>
            </w:rPr>
          </w:pPr>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2F8C9CA3">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TOC \o "1-1" \h \u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_Toc265009122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一、大赛背景</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_Toc265009122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612EE4F4">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_Toc127229576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二、指导思想</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_Toc127229576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77BEA6C1">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_Toc1601255067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三、大赛定位</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_Toc1601255067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2</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43C89EC1">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_Toc28846865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四、总体目标</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_Toc28846865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3</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7D30A4C2">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_Toc1645439480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五、基本原则</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_Toc1645439480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4</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7F06157A">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_Toc1754417941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六、组织机构</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_Toc1754417941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5</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4D67A91D">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_Toc1551861077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七、参赛组别设置</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_Toc1551861077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7</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56622ABC">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_Toc940228324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八、赛道设置</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_Toc940228324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8</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0C3DF90D">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_Toc1232766842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九、参赛资格与组队规则</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_Toc1232766842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10</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4EF3FE99">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_Toc190087238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 xml:space="preserve"> 十、参赛项目方向与要求</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_Toc190087238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11</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787A8094">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_Toc1488025977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十一、材料提交要求</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_Toc1488025977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13</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62B4F4DD">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_Toc1805526124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十二、评审办法与评分导向</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_Toc1805526124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15</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5B0828A9">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_Toc1533633958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十三、奖项设置</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_Toc1533633958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16</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1E3CFC2B">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_Toc1687200812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lang w:val="en-US" w:eastAsia="zh-CN"/>
            </w:rPr>
            <w:t xml:space="preserve"> </w:t>
          </w:r>
          <w:r>
            <w:rPr>
              <w:rFonts w:hint="eastAsia" w:ascii="方正仿宋_GB2312" w:hAnsi="方正仿宋_GB2312" w:eastAsia="方正仿宋_GB2312" w:cs="方正仿宋_GB2312"/>
              <w:sz w:val="32"/>
              <w:szCs w:val="32"/>
            </w:rPr>
            <w:t>十四、赛程安排</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_Toc1687200812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18</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6782034C">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_Toc1409972296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 xml:space="preserve"> 十五、赛事服务与项目培育</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_Toc1409972296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19</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56A1EBB9">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_Toc2069817874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 xml:space="preserve"> 十六、报名费用</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_Toc2069817874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20</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1A33FD30">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_Toc341410565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 xml:space="preserve"> 十七、风险处置</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_Toc341410565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21</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028C0439">
          <w:pPr>
            <w:pStyle w:val="4"/>
            <w:keepNext w:val="0"/>
            <w:keepLines w:val="0"/>
            <w:pageBreakBefore w:val="0"/>
            <w:widowControl w:val="0"/>
            <w:tabs>
              <w:tab w:val="right" w:leader="dot" w:pos="8306"/>
            </w:tabs>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HYPERLINK \l _Toc11061171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 xml:space="preserve"> 十八、附则</w:t>
          </w:r>
          <w:r>
            <w:rPr>
              <w:rFonts w:hint="eastAsia" w:ascii="方正仿宋_GB2312" w:hAnsi="方正仿宋_GB2312" w:eastAsia="方正仿宋_GB2312" w:cs="方正仿宋_GB2312"/>
              <w:sz w:val="32"/>
              <w:szCs w:val="32"/>
            </w:rPr>
            <w:tab/>
          </w:r>
          <w:r>
            <w:rPr>
              <w:rFonts w:hint="eastAsia" w:ascii="方正仿宋_GB2312" w:hAnsi="方正仿宋_GB2312" w:eastAsia="方正仿宋_GB2312" w:cs="方正仿宋_GB2312"/>
              <w:sz w:val="32"/>
              <w:szCs w:val="32"/>
            </w:rPr>
            <w:fldChar w:fldCharType="begin"/>
          </w:r>
          <w:r>
            <w:rPr>
              <w:rFonts w:hint="eastAsia" w:ascii="方正仿宋_GB2312" w:hAnsi="方正仿宋_GB2312" w:eastAsia="方正仿宋_GB2312" w:cs="方正仿宋_GB2312"/>
              <w:sz w:val="32"/>
              <w:szCs w:val="32"/>
            </w:rPr>
            <w:instrText xml:space="preserve"> PAGEREF _Toc11061171 \h </w:instrText>
          </w:r>
          <w:r>
            <w:rPr>
              <w:rFonts w:hint="eastAsia" w:ascii="方正仿宋_GB2312" w:hAnsi="方正仿宋_GB2312" w:eastAsia="方正仿宋_GB2312" w:cs="方正仿宋_GB2312"/>
              <w:sz w:val="32"/>
              <w:szCs w:val="32"/>
            </w:rPr>
            <w:fldChar w:fldCharType="separate"/>
          </w:r>
          <w:r>
            <w:rPr>
              <w:rFonts w:hint="eastAsia" w:ascii="方正仿宋_GB2312" w:hAnsi="方正仿宋_GB2312" w:eastAsia="方正仿宋_GB2312" w:cs="方正仿宋_GB2312"/>
              <w:sz w:val="32"/>
              <w:szCs w:val="32"/>
            </w:rPr>
            <w:t>23</w:t>
          </w:r>
          <w:r>
            <w:rPr>
              <w:rFonts w:hint="eastAsia" w:ascii="方正仿宋_GB2312" w:hAnsi="方正仿宋_GB2312" w:eastAsia="方正仿宋_GB2312" w:cs="方正仿宋_GB2312"/>
              <w:sz w:val="32"/>
              <w:szCs w:val="32"/>
            </w:rPr>
            <w:fldChar w:fldCharType="end"/>
          </w:r>
          <w:r>
            <w:rPr>
              <w:rFonts w:hint="eastAsia" w:ascii="方正仿宋_GB2312" w:hAnsi="方正仿宋_GB2312" w:eastAsia="方正仿宋_GB2312" w:cs="方正仿宋_GB2312"/>
              <w:sz w:val="32"/>
              <w:szCs w:val="32"/>
            </w:rPr>
            <w:fldChar w:fldCharType="end"/>
          </w:r>
        </w:p>
        <w:p w14:paraId="4BF5DCB5">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textAlignment w:val="auto"/>
          </w:pPr>
          <w:r>
            <w:rPr>
              <w:rFonts w:hint="eastAsia" w:ascii="方正仿宋_GB2312" w:hAnsi="方正仿宋_GB2312" w:eastAsia="方正仿宋_GB2312" w:cs="方正仿宋_GB2312"/>
              <w:sz w:val="32"/>
              <w:szCs w:val="32"/>
            </w:rPr>
            <w:fldChar w:fldCharType="end"/>
          </w:r>
        </w:p>
      </w:sdtContent>
    </w:sdt>
    <w:p w14:paraId="3FECDADD">
      <w:pPr>
        <w:rPr>
          <w:rFonts w:hint="eastAsia" w:ascii="黑体" w:hAnsi="黑体" w:eastAsia="黑体" w:cs="黑体"/>
          <w:sz w:val="28"/>
          <w:szCs w:val="28"/>
          <w:lang w:val="en-US" w:eastAsia="zh-CN"/>
        </w:rPr>
        <w:sectPr>
          <w:headerReference r:id="rId10" w:type="first"/>
          <w:footerReference r:id="rId12" w:type="first"/>
          <w:headerReference r:id="rId9" w:type="default"/>
          <w:footerReference r:id="rId11" w:type="default"/>
          <w:pgSz w:w="11906" w:h="16838"/>
          <w:pgMar w:top="1440" w:right="1800" w:bottom="1440" w:left="1800" w:header="907" w:footer="992" w:gutter="0"/>
          <w:pgNumType w:fmt="upperRoman" w:start="1"/>
          <w:cols w:space="425" w:num="1"/>
          <w:titlePg/>
          <w:docGrid w:type="lines" w:linePitch="312" w:charSpace="0"/>
        </w:sectPr>
      </w:pPr>
    </w:p>
    <w:p w14:paraId="411567D8">
      <w:pPr>
        <w:pStyle w:val="8"/>
        <w:bidi w:val="0"/>
        <w:outlineLvl w:val="0"/>
        <w:rPr>
          <w:rFonts w:hint="eastAsia" w:ascii="黑体" w:hAnsi="黑体" w:eastAsia="黑体" w:cs="黑体"/>
          <w:lang w:val="en-US" w:eastAsia="zh-CN"/>
        </w:rPr>
      </w:pPr>
      <w:bookmarkStart w:id="0" w:name="_Toc265009122"/>
      <w:r>
        <w:rPr>
          <w:rFonts w:hint="eastAsia" w:ascii="黑体" w:hAnsi="黑体" w:eastAsia="黑体" w:cs="黑体"/>
          <w:lang w:val="en-US" w:eastAsia="zh-CN"/>
        </w:rPr>
        <w:t>一、大赛背景</w:t>
      </w:r>
      <w:bookmarkEnd w:id="0"/>
    </w:p>
    <w:p w14:paraId="5B3BF3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为深入贯彻落实教育强国、科技强国、人才强国建设战略部署，主动适应人工智能技术快速演进、数字经济与实体经济深度融合的新形势新要求，进一步激发青年学生创新潜能与创造活力，切实提升大学生面向真实需求开展智能应用开发、产品设计、场景验证与项目实践的综合能力。</w:t>
      </w:r>
    </w:p>
    <w:p w14:paraId="6DDADF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当前，人工智能技术正从突破积累期加速迈向产业融合应用期，各类智能应用正加快进入学习、生活、产业协同、公共服务和文化传播等真实场景。高校青年学生既是学习掌握前沿技术的重要群体，也是探索新产品、新服务、新工具的重要力量。大赛组委会将围绕智能应用开发组织赛事活动，引导参赛团队把课堂知识、专业素养、开发工具与社会需求紧密结合，在项目实践中牢固树立问题意识、工程意识、协同意识与责任意识。</w:t>
      </w:r>
    </w:p>
    <w:p w14:paraId="443B27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大赛严格按照“参赛组别+三类赛道”的架构组织实施。赛事设置职教组、高校组与青年创新组，分设萌芽赛道、创意赛道及OPC轻创赛道。涉及项目主体属性、组织实施基础、应用验证及持续迭代等相关内容，统一纳入相应组别和赛道的评价体系之中，确保赛事结构清晰、定位精准、运行稳定。</w:t>
      </w:r>
    </w:p>
    <w:p w14:paraId="186FD746">
      <w:pPr>
        <w:pStyle w:val="8"/>
        <w:bidi w:val="0"/>
        <w:rPr>
          <w:rFonts w:hint="eastAsia"/>
          <w:lang w:val="en-US" w:eastAsia="zh-CN"/>
        </w:rPr>
      </w:pPr>
      <w:bookmarkStart w:id="1" w:name="_Toc127229576"/>
      <w:r>
        <w:rPr>
          <w:rFonts w:hint="eastAsia"/>
          <w:lang w:val="en-US" w:eastAsia="zh-CN"/>
        </w:rPr>
        <w:br w:type="textWrapping"/>
      </w:r>
      <w:r>
        <w:rPr>
          <w:rFonts w:hint="eastAsia"/>
          <w:lang w:val="en-US" w:eastAsia="zh-CN"/>
        </w:rPr>
        <w:t>二、指导思想</w:t>
      </w:r>
      <w:bookmarkEnd w:id="1"/>
    </w:p>
    <w:p w14:paraId="37A94BD3">
      <w:pPr>
        <w:pStyle w:val="9"/>
        <w:bidi w:val="0"/>
        <w:rPr>
          <w:rFonts w:hint="eastAsia"/>
          <w:lang w:val="en-US" w:eastAsia="zh-CN"/>
        </w:rPr>
      </w:pPr>
      <w:r>
        <w:t>坚持以习近平新时代中国特色社会主义思想为指导，全面贯彻党的二十大和二十届三中全会精神，落实立德树人根本任务，聚焦人工智能赋能千行百业、智能应用服务真实场景、青年学生参与开发实践的时代要求，推动创新教育、专业教育、产业需求和社会实践有机融合。</w:t>
      </w:r>
    </w:p>
    <w:p w14:paraId="640FEE29">
      <w:pPr>
        <w:pStyle w:val="9"/>
        <w:bidi w:val="0"/>
        <w:rPr>
          <w:rFonts w:hint="eastAsia"/>
          <w:lang w:val="en-US" w:eastAsia="zh-CN"/>
        </w:rPr>
      </w:pPr>
      <w:r>
        <w:t>大赛坚持“育人为本、实践为要、创新为核、应用为先”，突出项目真实性、过程参与度、成果可展示性和发展可持续性，引导参赛选手在发现问题、分析问题、解决问题过程中形成较为完整的开发实践闭环。通过赛事组织，推动更多青年学生从“想法表达”走向“方案设计”，从“方案设计”走向“原型开发”，从“原型开发”走向“场景验证”，切实提升创新实践教育的针对性、实践性和实效性。</w:t>
      </w:r>
    </w:p>
    <w:p w14:paraId="05EB5069">
      <w:pPr>
        <w:pStyle w:val="8"/>
        <w:bidi w:val="0"/>
        <w:rPr>
          <w:rFonts w:hint="eastAsia"/>
          <w:lang w:val="en-US" w:eastAsia="zh-CN"/>
        </w:rPr>
      </w:pPr>
      <w:bookmarkStart w:id="2" w:name="_Toc1601255067"/>
      <w:r>
        <w:rPr>
          <w:rFonts w:hint="eastAsia"/>
          <w:lang w:val="en-US" w:eastAsia="zh-CN"/>
        </w:rPr>
        <w:br w:type="textWrapping"/>
      </w:r>
      <w:r>
        <w:rPr>
          <w:rFonts w:hint="eastAsia"/>
          <w:lang w:val="en-US" w:eastAsia="zh-CN"/>
        </w:rPr>
        <w:t>三、大赛定位</w:t>
      </w:r>
      <w:bookmarkEnd w:id="2"/>
    </w:p>
    <w:p w14:paraId="1E908DD6">
      <w:pPr>
        <w:pStyle w:val="9"/>
        <w:bidi w:val="0"/>
        <w:rPr>
          <w:rFonts w:hint="eastAsia"/>
          <w:lang w:val="en-US" w:eastAsia="zh-CN"/>
        </w:rPr>
      </w:pPr>
      <w:r>
        <w:t>全国大学生智能应用开发大赛，是面向青年开发实践主体组织开展的一项综合性赛事。大赛紧密围绕智能应用开发、场景化技术实践、实践能力提升和项目持续培育四个核心维度，坚持以真实问题为导向、以真实需求为牵引、以真实场景为依托，组织参赛团队系统开展项目构思、方案设计、原型开发、成果展示与应用验证。</w:t>
      </w:r>
    </w:p>
    <w:p w14:paraId="19824D9E">
      <w:pPr>
        <w:pStyle w:val="9"/>
        <w:bidi w:val="0"/>
        <w:rPr>
          <w:rFonts w:hint="eastAsia"/>
          <w:lang w:val="en-US" w:eastAsia="zh-CN"/>
        </w:rPr>
      </w:pPr>
      <w:r>
        <w:t>本赛事不单纯以创意展示为唯一目标，也不单纯以技术复杂度作为唯一评价依据，而是始终坚持创新导向、实践导向、应用导向与成长导向有机统一。赛事重点考察项目是否具备方向明确、逻辑完整、成果可感、路径清晰、潜力可见等综合特征，既关注创新构想的前瞻性与合理性，也关注原型成果的完整性与可验证性；既关注技术实现能力，也关注团队协作、组织推进、现场表达与后续迭代能力。</w:t>
      </w:r>
    </w:p>
    <w:p w14:paraId="407E05F6">
      <w:pPr>
        <w:pStyle w:val="9"/>
        <w:bidi w:val="0"/>
        <w:rPr>
          <w:rFonts w:hint="eastAsia"/>
          <w:lang w:val="en-US" w:eastAsia="zh-CN"/>
        </w:rPr>
      </w:pPr>
      <w:r>
        <w:t>大赛致力于为不同教育背景、不同发展阶段、不同项目类型的青年开发团队搭建有序展示、公平竞争、持续成长的平台，推动人工智能技术与真实应用场景深度融合，促进项目成果从构想走向开发、从开发走向验证、从参赛走向持续迭代。</w:t>
      </w:r>
    </w:p>
    <w:p w14:paraId="413CF066">
      <w:pPr>
        <w:rPr>
          <w:rFonts w:hint="eastAsia" w:ascii="黑体" w:hAnsi="黑体" w:eastAsia="黑体" w:cs="黑体"/>
          <w:sz w:val="28"/>
          <w:szCs w:val="28"/>
          <w:lang w:val="en-US" w:eastAsia="zh-CN"/>
        </w:rPr>
      </w:pPr>
    </w:p>
    <w:p w14:paraId="3625546D">
      <w:pPr>
        <w:pStyle w:val="8"/>
        <w:bidi w:val="0"/>
        <w:rPr>
          <w:rFonts w:hint="eastAsia"/>
          <w:lang w:val="en-US" w:eastAsia="zh-CN"/>
        </w:rPr>
      </w:pPr>
      <w:bookmarkStart w:id="3" w:name="_Toc28846865"/>
      <w:r>
        <w:rPr>
          <w:rFonts w:hint="eastAsia"/>
          <w:lang w:val="en-US" w:eastAsia="zh-CN"/>
        </w:rPr>
        <w:t>四、总体目标</w:t>
      </w:r>
      <w:bookmarkEnd w:id="3"/>
    </w:p>
    <w:p w14:paraId="2A3228E1">
      <w:pPr>
        <w:pStyle w:val="10"/>
        <w:bidi w:val="0"/>
        <w:rPr>
          <w:rFonts w:hint="eastAsia"/>
          <w:lang w:val="en-US" w:eastAsia="zh-CN"/>
        </w:rPr>
      </w:pPr>
      <w:r>
        <w:t>（一）强化智能应用开发能力培养</w:t>
      </w:r>
    </w:p>
    <w:p w14:paraId="421D48F2">
      <w:pPr>
        <w:pStyle w:val="9"/>
        <w:bidi w:val="0"/>
        <w:rPr>
          <w:rFonts w:hint="eastAsia"/>
          <w:lang w:val="en-US" w:eastAsia="zh-CN"/>
        </w:rPr>
      </w:pPr>
      <w:r>
        <w:t>围绕人工智能工具应用、智能应用开发、软硬件协同设计和场景化解决方案构建，重点提升参赛主体的问题识别、方案设计、技术整合、原型开发、项目表达及团队协作能力，引导青年群体在实践中形成系统性、整体性的开发素养。</w:t>
      </w:r>
    </w:p>
    <w:p w14:paraId="1AD4FC7E">
      <w:pPr>
        <w:pStyle w:val="10"/>
        <w:bidi w:val="0"/>
        <w:rPr>
          <w:rFonts w:hint="eastAsia"/>
          <w:lang w:val="en-US" w:eastAsia="zh-CN"/>
        </w:rPr>
      </w:pPr>
      <w:r>
        <w:rPr>
          <w:rFonts w:hint="eastAsia"/>
          <w:lang w:val="en-US" w:eastAsia="zh-CN"/>
        </w:rPr>
        <w:t>（二）坚持真实场景和真实需求导向</w:t>
      </w:r>
    </w:p>
    <w:p w14:paraId="63DDDDEE">
      <w:pPr>
        <w:pStyle w:val="9"/>
        <w:bidi w:val="0"/>
        <w:rPr>
          <w:rFonts w:hint="eastAsia"/>
          <w:lang w:val="en-US" w:eastAsia="zh-CN"/>
        </w:rPr>
      </w:pPr>
      <w:r>
        <w:rPr>
          <w:rFonts w:hint="eastAsia"/>
          <w:lang w:val="en-US" w:eastAsia="zh-CN"/>
        </w:rPr>
        <w:t>鼓励参赛项目立足教育教学、校园服务、智慧生活、文化传播、产业协同、社会治理、公共服务等重点领域，从具体用户、具体场景、具体问题出发开展创新设计与实践探索，切实提升项目的实用价值、社会效益和推广基础。</w:t>
      </w:r>
    </w:p>
    <w:p w14:paraId="0B6D3FDC">
      <w:pPr>
        <w:pStyle w:val="10"/>
        <w:bidi w:val="0"/>
        <w:rPr>
          <w:rFonts w:hint="eastAsia"/>
          <w:lang w:val="en-US" w:eastAsia="zh-CN"/>
        </w:rPr>
      </w:pPr>
      <w:r>
        <w:t>（三）推动阶段成果形成与展示验证</w:t>
      </w:r>
    </w:p>
    <w:p w14:paraId="77B7B4F4">
      <w:pPr>
        <w:pStyle w:val="9"/>
        <w:bidi w:val="0"/>
        <w:rPr>
          <w:rFonts w:hint="eastAsia"/>
          <w:lang w:val="en-US" w:eastAsia="zh-CN"/>
        </w:rPr>
      </w:pPr>
      <w:r>
        <w:t>推动参赛项目完成从概念阐述到阶段成果、从创意展示到实践验证、从技术方案到应用表达的转变。对早期项目注重探索过程和成长潜力，对成型项目注重方案完整性和成果表达，对OPC轻创项目注重阶段成果、演示能力、低成本验证和持续迭代可能性。</w:t>
      </w:r>
    </w:p>
    <w:p w14:paraId="00A718C9">
      <w:pPr>
        <w:pStyle w:val="10"/>
        <w:bidi w:val="0"/>
        <w:rPr>
          <w:rFonts w:hint="eastAsia"/>
          <w:lang w:val="en-US" w:eastAsia="zh-CN"/>
        </w:rPr>
      </w:pPr>
      <w:r>
        <w:rPr>
          <w:rFonts w:hint="eastAsia"/>
          <w:lang w:val="en-US" w:eastAsia="zh-CN"/>
        </w:rPr>
        <w:t>（四）构建递进式项目成长通道</w:t>
      </w:r>
    </w:p>
    <w:p w14:paraId="06B04D22">
      <w:pPr>
        <w:pStyle w:val="9"/>
        <w:bidi w:val="0"/>
        <w:rPr>
          <w:rFonts w:hint="eastAsia"/>
          <w:lang w:val="en-US" w:eastAsia="zh-CN"/>
        </w:rPr>
      </w:pPr>
      <w:r>
        <w:rPr>
          <w:rFonts w:hint="eastAsia"/>
          <w:lang w:val="en-US" w:eastAsia="zh-CN"/>
        </w:rPr>
        <w:t>通过萌芽赛道、创意赛道、OPC轻创赛道三类赛道设计，构建从早期探索、方案形成到轻量验证、成果展示的递进式赛事体系，推动不同基础、不同阶段、不同类型项目在相适应的评价体系内获得成长机会。</w:t>
      </w:r>
    </w:p>
    <w:p w14:paraId="00EAF133">
      <w:pPr>
        <w:pStyle w:val="10"/>
        <w:bidi w:val="0"/>
        <w:rPr>
          <w:rFonts w:hint="eastAsia"/>
          <w:lang w:val="en-US" w:eastAsia="zh-CN"/>
        </w:rPr>
      </w:pPr>
      <w:r>
        <w:rPr>
          <w:rFonts w:hint="eastAsia"/>
          <w:lang w:val="en-US" w:eastAsia="zh-CN"/>
        </w:rPr>
        <w:t>（五）形成多方协同育人和资源对接机制</w:t>
      </w:r>
    </w:p>
    <w:p w14:paraId="1A85F30B">
      <w:pPr>
        <w:pStyle w:val="9"/>
        <w:bidi w:val="0"/>
        <w:rPr>
          <w:rFonts w:hint="eastAsia"/>
          <w:lang w:val="en-US" w:eastAsia="zh-CN"/>
        </w:rPr>
      </w:pPr>
      <w:r>
        <w:t>整合高校、企业、行业专家、技术平台、社会资源等力量，构建多主体协同参与、多环节紧密衔接、多层次支撑保障的赛事生态，推动优秀项目获得专业指导、展示传播、技术支持和后续项目培育机会。</w:t>
      </w:r>
    </w:p>
    <w:p w14:paraId="5C59D58B">
      <w:pPr>
        <w:pStyle w:val="8"/>
        <w:bidi w:val="0"/>
        <w:rPr>
          <w:rFonts w:hint="eastAsia"/>
          <w:lang w:val="en-US" w:eastAsia="zh-CN"/>
        </w:rPr>
      </w:pPr>
      <w:bookmarkStart w:id="4" w:name="_Toc1645439480"/>
      <w:r>
        <w:rPr>
          <w:rFonts w:hint="eastAsia"/>
          <w:lang w:val="en-US" w:eastAsia="zh-CN"/>
        </w:rPr>
        <w:br w:type="textWrapping"/>
      </w:r>
      <w:r>
        <w:rPr>
          <w:rFonts w:hint="eastAsia"/>
          <w:lang w:val="en-US" w:eastAsia="zh-CN"/>
        </w:rPr>
        <w:t>五、基本原则</w:t>
      </w:r>
      <w:bookmarkEnd w:id="4"/>
    </w:p>
    <w:p w14:paraId="683AFF78">
      <w:pPr>
        <w:pStyle w:val="10"/>
        <w:bidi w:val="0"/>
        <w:rPr>
          <w:rFonts w:hint="eastAsia"/>
          <w:lang w:val="en-US" w:eastAsia="zh-CN"/>
        </w:rPr>
      </w:pPr>
      <w:r>
        <w:rPr>
          <w:rFonts w:hint="eastAsia"/>
          <w:lang w:val="en-US" w:eastAsia="zh-CN"/>
        </w:rPr>
        <w:t>（一）坚持正确导向、育人为本</w:t>
      </w:r>
    </w:p>
    <w:p w14:paraId="3F41CE86">
      <w:pPr>
        <w:pStyle w:val="9"/>
        <w:bidi w:val="0"/>
        <w:rPr>
          <w:rFonts w:hint="eastAsia"/>
          <w:lang w:val="en-US" w:eastAsia="zh-CN"/>
        </w:rPr>
      </w:pPr>
      <w:r>
        <w:t>大赛组委会把育人价值贯穿赛事全过程，引导参赛主体树立正确价值观、创新观和发展观，鼓励青年学生以人工智能及相关开发技术服务经济社会发展、服务学习生活改善、服务公共价值创造。</w:t>
      </w:r>
    </w:p>
    <w:p w14:paraId="7D3AFDF6">
      <w:pPr>
        <w:pStyle w:val="10"/>
        <w:bidi w:val="0"/>
        <w:rPr>
          <w:rFonts w:hint="eastAsia"/>
          <w:lang w:val="en-US" w:eastAsia="zh-CN"/>
        </w:rPr>
      </w:pPr>
      <w:r>
        <w:rPr>
          <w:rFonts w:hint="eastAsia"/>
          <w:lang w:val="en-US" w:eastAsia="zh-CN"/>
        </w:rPr>
        <w:t>（二）坚持真实实践、成果为重</w:t>
      </w:r>
    </w:p>
    <w:p w14:paraId="2268132E">
      <w:pPr>
        <w:pStyle w:val="9"/>
        <w:bidi w:val="0"/>
        <w:rPr>
          <w:rFonts w:hint="eastAsia"/>
          <w:lang w:val="en-US" w:eastAsia="zh-CN"/>
        </w:rPr>
      </w:pPr>
      <w:r>
        <w:rPr>
          <w:rFonts w:hint="eastAsia"/>
          <w:lang w:val="en-US" w:eastAsia="zh-CN"/>
        </w:rPr>
        <w:t>大赛评价突出项目真实来源、团队真实参与、过程真实推进和成果真实可信，坚决防止以材料包装替代项目建设，坚决防止以生成式工具内容替代团队真实思考、真实研发和真实实践。</w:t>
      </w:r>
    </w:p>
    <w:p w14:paraId="13ECCD83">
      <w:pPr>
        <w:pStyle w:val="10"/>
        <w:bidi w:val="0"/>
        <w:rPr>
          <w:rFonts w:hint="eastAsia"/>
          <w:lang w:val="en-US" w:eastAsia="zh-CN"/>
        </w:rPr>
      </w:pPr>
      <w:r>
        <w:rPr>
          <w:rFonts w:hint="eastAsia"/>
          <w:lang w:val="en-US" w:eastAsia="zh-CN"/>
        </w:rPr>
        <w:t>（三）坚持分类评价、公平竞争</w:t>
      </w:r>
    </w:p>
    <w:p w14:paraId="5698088E">
      <w:pPr>
        <w:pStyle w:val="9"/>
        <w:bidi w:val="0"/>
        <w:rPr>
          <w:rFonts w:hint="eastAsia"/>
          <w:lang w:val="en-US" w:eastAsia="zh-CN"/>
        </w:rPr>
      </w:pPr>
      <w:r>
        <w:rPr>
          <w:rFonts w:hint="eastAsia"/>
          <w:lang w:val="en-US" w:eastAsia="zh-CN"/>
        </w:rPr>
        <w:t>大赛采取参赛组别与赛道分类相结合的组织方式，依据不同参赛主体、不同项目阶段和不同成果形态实行分类评审、分类排序、分类表彰，避免不同基础项目简单混评。</w:t>
      </w:r>
    </w:p>
    <w:p w14:paraId="2770BB0C">
      <w:pPr>
        <w:pStyle w:val="10"/>
        <w:bidi w:val="0"/>
        <w:rPr>
          <w:rFonts w:hint="eastAsia"/>
          <w:lang w:val="en-US" w:eastAsia="zh-CN"/>
        </w:rPr>
      </w:pPr>
      <w:r>
        <w:rPr>
          <w:rFonts w:hint="eastAsia"/>
          <w:lang w:val="en-US" w:eastAsia="zh-CN"/>
        </w:rPr>
        <w:t>（四）坚持规范组织、公开透明</w:t>
      </w:r>
    </w:p>
    <w:p w14:paraId="7DADA39D">
      <w:pPr>
        <w:pStyle w:val="9"/>
        <w:bidi w:val="0"/>
        <w:rPr>
          <w:rFonts w:hint="eastAsia"/>
          <w:lang w:val="en-US" w:eastAsia="zh-CN"/>
        </w:rPr>
      </w:pPr>
      <w:r>
        <w:rPr>
          <w:rFonts w:hint="eastAsia"/>
          <w:lang w:val="en-US" w:eastAsia="zh-CN"/>
        </w:rPr>
        <w:t>赛事全过程严格执行资格审核、材料审查、专家评审、回避制度、结果确认和纪律监督机制，确保赛事规则公开、流程清晰、过程留痕、结果可信。</w:t>
      </w:r>
    </w:p>
    <w:p w14:paraId="0F6A7BD8">
      <w:pPr>
        <w:pStyle w:val="8"/>
        <w:bidi w:val="0"/>
        <w:rPr>
          <w:rFonts w:hint="eastAsia"/>
          <w:lang w:val="en-US" w:eastAsia="zh-CN"/>
        </w:rPr>
      </w:pPr>
      <w:bookmarkStart w:id="5" w:name="_Toc1754417941"/>
      <w:r>
        <w:rPr>
          <w:rFonts w:hint="eastAsia"/>
          <w:lang w:val="en-US" w:eastAsia="zh-CN"/>
        </w:rPr>
        <w:br w:type="textWrapping"/>
      </w:r>
      <w:r>
        <w:rPr>
          <w:rFonts w:hint="eastAsia"/>
          <w:lang w:val="en-US" w:eastAsia="zh-CN"/>
        </w:rPr>
        <w:t>六、组织机构</w:t>
      </w:r>
      <w:bookmarkEnd w:id="5"/>
    </w:p>
    <w:p w14:paraId="65DE0E79">
      <w:pPr>
        <w:pStyle w:val="10"/>
        <w:bidi w:val="0"/>
        <w:rPr>
          <w:rFonts w:hint="eastAsia"/>
          <w:lang w:val="en-US" w:eastAsia="zh-CN"/>
        </w:rPr>
      </w:pPr>
      <w:r>
        <w:rPr>
          <w:rFonts w:hint="eastAsia"/>
          <w:lang w:val="en-US" w:eastAsia="zh-CN"/>
        </w:rPr>
        <w:t>（一）组织单位</w:t>
      </w:r>
    </w:p>
    <w:p w14:paraId="4A2F25AC">
      <w:pPr>
        <w:pStyle w:val="9"/>
        <w:bidi w:val="0"/>
        <w:rPr>
          <w:rFonts w:hint="eastAsia"/>
          <w:lang w:val="en-US" w:eastAsia="zh-CN"/>
        </w:rPr>
      </w:pPr>
      <w:r>
        <w:rPr>
          <w:rFonts w:hint="eastAsia"/>
          <w:lang w:val="en-US" w:eastAsia="zh-CN"/>
        </w:rPr>
        <w:t>指导单位：中国移动通信联合会人工智能产教融合研究院。</w:t>
      </w:r>
    </w:p>
    <w:p w14:paraId="2B758A86">
      <w:pPr>
        <w:pStyle w:val="9"/>
        <w:bidi w:val="0"/>
        <w:rPr>
          <w:rFonts w:hint="eastAsia"/>
          <w:lang w:val="en-US" w:eastAsia="zh-CN"/>
        </w:rPr>
      </w:pPr>
      <w:r>
        <w:t>主办单位：全国大学生智能应用开发大赛组织委员会。</w:t>
      </w:r>
    </w:p>
    <w:p w14:paraId="0315DD90">
      <w:pPr>
        <w:pStyle w:val="9"/>
        <w:bidi w:val="0"/>
        <w:rPr>
          <w:rFonts w:hint="eastAsia"/>
          <w:lang w:val="en-US" w:eastAsia="zh-CN"/>
        </w:rPr>
      </w:pPr>
      <w:r>
        <w:rPr>
          <w:rFonts w:hint="eastAsia"/>
          <w:lang w:val="en-US" w:eastAsia="zh-CN"/>
        </w:rPr>
        <w:t>承办单位：赛事执行秘书处（设在江苏集数财务管理咨询有限公司）。</w:t>
      </w:r>
    </w:p>
    <w:p w14:paraId="04BD7D5B">
      <w:pPr>
        <w:pStyle w:val="9"/>
        <w:bidi w:val="0"/>
        <w:rPr>
          <w:rFonts w:hint="eastAsia"/>
          <w:lang w:val="en-US" w:eastAsia="zh-CN"/>
        </w:rPr>
      </w:pPr>
      <w:r>
        <w:rPr>
          <w:rFonts w:hint="eastAsia"/>
          <w:lang w:val="en-US" w:eastAsia="zh-CN"/>
        </w:rPr>
        <w:t>协办单位：容诚荟（句容）科技有限公司、宏翔商道（南京）科技发展有限公司。</w:t>
      </w:r>
    </w:p>
    <w:p w14:paraId="29522F42">
      <w:pPr>
        <w:pStyle w:val="9"/>
        <w:bidi w:val="0"/>
        <w:rPr>
          <w:rFonts w:hint="eastAsia"/>
          <w:lang w:val="en-US" w:eastAsia="zh-CN"/>
        </w:rPr>
      </w:pPr>
      <w:r>
        <w:t>支持单位：</w:t>
      </w:r>
      <w:r>
        <w:rPr>
          <w:rFonts w:hint="eastAsia"/>
        </w:rPr>
        <w:t>武汉誉天互联科技有限责任公司、HarmonyOS、南京创信优服信息咨询有限公司、江苏天安认证有限公司、南京稻草空间民宿经营管理有限公司、江苏林瑞科创发展有限公司、南京为易授服信息技术有限公司、哈尔滨彦炽信息技术有限公司、南京企瑞科技服务有限公司、上海及未科技有限公司、西藏领瑞科技有限公司、南京中与和科技有限公司、南京海视康信息技术有限公司、江苏佳安合瑞物业管理有限公司、南京舟摇科技产业发展有限公司、南京汇舟集数信息科技有限公司、海南词元人工智能科技中心、荷包蛋（南京）网络科技有限公司、桐谷霁屿（南京）科技发展有限公司、Elexvx Capital Inc（美国）、Bo Le Capital Inc（美国）</w:t>
      </w:r>
    </w:p>
    <w:p w14:paraId="25302472">
      <w:pPr>
        <w:pStyle w:val="10"/>
        <w:bidi w:val="0"/>
        <w:rPr>
          <w:rFonts w:hint="eastAsia"/>
          <w:lang w:val="en-US" w:eastAsia="zh-CN"/>
        </w:rPr>
      </w:pPr>
      <w:r>
        <w:rPr>
          <w:rFonts w:hint="eastAsia"/>
          <w:lang w:val="en-US" w:eastAsia="zh-CN"/>
        </w:rPr>
        <w:t>（二）工作机制</w:t>
      </w:r>
    </w:p>
    <w:p w14:paraId="4A70A4F0">
      <w:pPr>
        <w:pStyle w:val="9"/>
        <w:bidi w:val="0"/>
        <w:rPr>
          <w:rFonts w:hint="eastAsia"/>
          <w:lang w:val="en-US" w:eastAsia="zh-CN"/>
        </w:rPr>
      </w:pPr>
      <w:r>
        <w:rPr>
          <w:rFonts w:hint="eastAsia"/>
          <w:lang w:val="en-US" w:eastAsia="zh-CN"/>
        </w:rPr>
        <w:t>1. 大赛组委会。负责赛事整体统筹协调、重大事项审议决定、制度规则制定完善、资源调配协调推进以及赛事结果最终确认。</w:t>
      </w:r>
    </w:p>
    <w:p w14:paraId="6A787565">
      <w:pPr>
        <w:pStyle w:val="9"/>
        <w:bidi w:val="0"/>
        <w:rPr>
          <w:rFonts w:hint="eastAsia"/>
          <w:lang w:val="en-US" w:eastAsia="zh-CN"/>
        </w:rPr>
      </w:pPr>
      <w:r>
        <w:t>2. 专家评审委员会。负责评审标准研究制定、项目评审组织实施、专业咨询服务提供以及重点项目诊断指导。专家构成包括高校教师、行业专家、技术专家、企业代表和创新实践导师。</w:t>
      </w:r>
    </w:p>
    <w:p w14:paraId="204DB121">
      <w:pPr>
        <w:pStyle w:val="9"/>
        <w:bidi w:val="0"/>
        <w:rPr>
          <w:rFonts w:hint="eastAsia"/>
          <w:lang w:val="en-US" w:eastAsia="zh-CN"/>
        </w:rPr>
      </w:pPr>
      <w:r>
        <w:rPr>
          <w:rFonts w:hint="eastAsia"/>
          <w:lang w:val="en-US" w:eastAsia="zh-CN"/>
        </w:rPr>
        <w:t>3. 赛事执行秘书处。负责报名组织、材料审核、信息发布、赛程推进、现场执行、档案管理、证书制作及日常服务保障。</w:t>
      </w:r>
    </w:p>
    <w:p w14:paraId="1481BF1B">
      <w:pPr>
        <w:pStyle w:val="9"/>
        <w:bidi w:val="0"/>
        <w:rPr>
          <w:rFonts w:hint="eastAsia"/>
          <w:lang w:val="en-US" w:eastAsia="zh-CN"/>
        </w:rPr>
      </w:pPr>
      <w:r>
        <w:rPr>
          <w:rFonts w:hint="eastAsia"/>
          <w:lang w:val="en-US" w:eastAsia="zh-CN"/>
        </w:rPr>
        <w:t>4. 纪律监督委员会。负责资格审核监督、评审秩序维护、投诉举报受理、违规行为处理和结果复核监督，保障赛事公平、公正、公开。</w:t>
      </w:r>
    </w:p>
    <w:p w14:paraId="46111696">
      <w:pPr>
        <w:pStyle w:val="8"/>
        <w:bidi w:val="0"/>
        <w:rPr>
          <w:rFonts w:hint="eastAsia"/>
          <w:lang w:val="en-US" w:eastAsia="zh-CN"/>
        </w:rPr>
      </w:pPr>
      <w:bookmarkStart w:id="6" w:name="_Toc1551861077"/>
      <w:r>
        <w:rPr>
          <w:rFonts w:hint="eastAsia"/>
          <w:lang w:val="en-US" w:eastAsia="zh-CN"/>
        </w:rPr>
        <w:br w:type="textWrapping"/>
      </w:r>
      <w:r>
        <w:rPr>
          <w:rFonts w:hint="eastAsia"/>
          <w:lang w:val="en-US" w:eastAsia="zh-CN"/>
        </w:rPr>
        <w:t>七、参赛组别设置</w:t>
      </w:r>
      <w:bookmarkEnd w:id="6"/>
    </w:p>
    <w:p w14:paraId="6948F33F">
      <w:pPr>
        <w:pStyle w:val="9"/>
        <w:bidi w:val="0"/>
        <w:rPr>
          <w:rFonts w:hint="eastAsia"/>
          <w:lang w:val="en-US" w:eastAsia="zh-CN"/>
        </w:rPr>
      </w:pPr>
      <w:r>
        <w:t>本届大赛依据参赛负责人身份、教育阶段、团队构成及项目主体属性设置职教组、高校组和青年创新组三个参赛组别。高校组面向普通高等学校全日制在校学生统一组织评审，不再区分本科生组和研究生组，统一排序、统一确定奖项，确保评审组织简洁高效、评价口径一致。</w:t>
      </w:r>
    </w:p>
    <w:p w14:paraId="1FE0EB4A">
      <w:pPr>
        <w:pStyle w:val="10"/>
        <w:bidi w:val="0"/>
        <w:rPr>
          <w:rFonts w:hint="eastAsia"/>
          <w:lang w:val="en-US" w:eastAsia="zh-CN"/>
        </w:rPr>
      </w:pPr>
      <w:r>
        <w:rPr>
          <w:rFonts w:hint="eastAsia"/>
          <w:lang w:val="en-US" w:eastAsia="zh-CN"/>
        </w:rPr>
        <w:t>（一）职教组</w:t>
      </w:r>
    </w:p>
    <w:p w14:paraId="2F8FD898">
      <w:pPr>
        <w:pStyle w:val="9"/>
        <w:bidi w:val="0"/>
        <w:rPr>
          <w:rFonts w:hint="eastAsia"/>
          <w:lang w:val="en-US" w:eastAsia="zh-CN"/>
        </w:rPr>
      </w:pPr>
      <w:r>
        <w:t>职教组主要面向全日制职业院校及其他符合条件的职业教育阶段在校学生。本组别突出实践导向、应用导向和技能转化导向，重点引导参赛团队围绕生产服务、生活应用、校园治理、职业场景及社会需求开展项目设计与成果展示。评审中重点考察项目的应用理解能力、场景适配能力、问题解决能力和实践可操作性。</w:t>
      </w:r>
    </w:p>
    <w:p w14:paraId="2F281FE5">
      <w:pPr>
        <w:pStyle w:val="10"/>
        <w:bidi w:val="0"/>
        <w:rPr>
          <w:rFonts w:hint="eastAsia"/>
          <w:lang w:val="en-US" w:eastAsia="zh-CN"/>
        </w:rPr>
      </w:pPr>
      <w:r>
        <w:t>（二）高校组</w:t>
      </w:r>
    </w:p>
    <w:p w14:paraId="1E20CC8B">
      <w:pPr>
        <w:pStyle w:val="9"/>
        <w:bidi w:val="0"/>
        <w:rPr>
          <w:rFonts w:hint="eastAsia"/>
          <w:lang w:val="en-US" w:eastAsia="zh-CN"/>
        </w:rPr>
      </w:pPr>
      <w:r>
        <w:t>高校组主要面向普通高等学校全日制在校学生，覆盖本科生、研究生及其他符合条件的高校在校学生。本组别不再拆分本科生组和研究生组，统一依据项目质量、开发过程、技术实现、场景应用、逻辑架构、验证过程、团队贡献和综合表达能力进行评价。</w:t>
      </w:r>
    </w:p>
    <w:p w14:paraId="08A5859B">
      <w:pPr>
        <w:pStyle w:val="10"/>
        <w:bidi w:val="0"/>
        <w:rPr>
          <w:rFonts w:hint="eastAsia"/>
          <w:lang w:val="en-US" w:eastAsia="zh-CN"/>
        </w:rPr>
      </w:pPr>
      <w:r>
        <w:rPr>
          <w:rFonts w:hint="eastAsia"/>
          <w:lang w:val="en-US" w:eastAsia="zh-CN"/>
        </w:rPr>
        <w:t>（三）青年创新组</w:t>
      </w:r>
    </w:p>
    <w:p w14:paraId="07C5EB09">
      <w:pPr>
        <w:pStyle w:val="9"/>
        <w:bidi w:val="0"/>
        <w:rPr>
          <w:rFonts w:hint="eastAsia"/>
          <w:lang w:val="en-US" w:eastAsia="zh-CN"/>
        </w:rPr>
      </w:pPr>
      <w:r>
        <w:t>青年创新组主要面向具备明确项目基础、开发实践经历或组织实施能力的青年项目主体。大赛组委会将本组别作为开放组别组织管理，实行单独评审、单独排序、单独确定奖项，不与职教组、高校组在同一评价序列内混合竞争，重点考察项目真实需求、价值主张、组织基础、阶段成果、推广路径和持续推进能力。青年创新组参赛人员年龄原则上不超过35周岁；以公司主体或团队主体参赛的，应提交相应授权、主体关系和项目权属说明。</w:t>
      </w:r>
    </w:p>
    <w:p w14:paraId="7AA2213C">
      <w:pPr>
        <w:pStyle w:val="10"/>
        <w:bidi w:val="0"/>
        <w:rPr>
          <w:rFonts w:hint="eastAsia"/>
          <w:lang w:val="en-US" w:eastAsia="zh-CN"/>
        </w:rPr>
      </w:pPr>
      <w:r>
        <w:rPr>
          <w:rFonts w:hint="eastAsia"/>
          <w:lang w:val="en-US" w:eastAsia="zh-CN"/>
        </w:rPr>
        <w:t>（四）组别与赛道对应关系</w:t>
      </w:r>
    </w:p>
    <w:p w14:paraId="6E2F5D54">
      <w:pPr>
        <w:pStyle w:val="9"/>
        <w:bidi w:val="0"/>
        <w:rPr>
          <w:rFonts w:hint="eastAsia"/>
          <w:lang w:val="en-US" w:eastAsia="zh-CN"/>
        </w:rPr>
      </w:pPr>
      <w:r>
        <w:t>参赛团队报名时须同步确认参赛组别与申报赛道。大赛组委会依据组别开展资格审核、专家分组、评审排序和奖项归属管理，依据赛道确定材料侧重、评分标准和答辩重点。对组别或赛道选择明显不当的项目，大赛组委会将在资格审核阶段提出调整意见，参赛团队须在规定期限内完成确认。</w:t>
      </w:r>
    </w:p>
    <w:p w14:paraId="1ECF5F41">
      <w:pPr>
        <w:pStyle w:val="8"/>
        <w:bidi w:val="0"/>
        <w:rPr>
          <w:rFonts w:hint="eastAsia"/>
          <w:lang w:val="en-US" w:eastAsia="zh-CN"/>
        </w:rPr>
      </w:pPr>
      <w:bookmarkStart w:id="7" w:name="_Toc940228324"/>
      <w:r>
        <w:rPr>
          <w:rFonts w:hint="eastAsia"/>
          <w:lang w:val="en-US" w:eastAsia="zh-CN"/>
        </w:rPr>
        <w:br w:type="textWrapping"/>
      </w:r>
      <w:r>
        <w:rPr>
          <w:rFonts w:hint="eastAsia"/>
          <w:lang w:val="en-US" w:eastAsia="zh-CN"/>
        </w:rPr>
        <w:t>八、赛道设置</w:t>
      </w:r>
      <w:bookmarkEnd w:id="7"/>
    </w:p>
    <w:p w14:paraId="01C2C84A">
      <w:pPr>
        <w:pStyle w:val="9"/>
        <w:bidi w:val="0"/>
        <w:rPr>
          <w:rFonts w:hint="eastAsia"/>
          <w:lang w:val="en-US" w:eastAsia="zh-CN"/>
        </w:rPr>
      </w:pPr>
      <w:r>
        <w:rPr>
          <w:rFonts w:hint="eastAsia"/>
          <w:lang w:val="en-US" w:eastAsia="zh-CN"/>
        </w:rPr>
        <w:t>本届大赛设置萌芽赛道、创意赛道和OPC轻创赛道三类赛道。三类赛道相互衔接、各有侧重，共同构建从早期探索到方案形成、从阶段成果到轻量验证的项目成长支持体系。</w:t>
      </w:r>
    </w:p>
    <w:p w14:paraId="653086D8">
      <w:pPr>
        <w:pStyle w:val="10"/>
        <w:bidi w:val="0"/>
        <w:rPr>
          <w:rFonts w:hint="eastAsia"/>
          <w:lang w:val="en-US" w:eastAsia="zh-CN"/>
        </w:rPr>
      </w:pPr>
      <w:r>
        <w:rPr>
          <w:rFonts w:hint="eastAsia"/>
          <w:lang w:val="en-US" w:eastAsia="zh-CN"/>
        </w:rPr>
        <w:t>（一）萌芽赛道</w:t>
      </w:r>
    </w:p>
    <w:p w14:paraId="17F0E13C">
      <w:pPr>
        <w:pStyle w:val="9"/>
        <w:bidi w:val="0"/>
        <w:rPr>
          <w:rFonts w:hint="eastAsia"/>
          <w:lang w:val="en-US" w:eastAsia="zh-CN"/>
        </w:rPr>
      </w:pPr>
      <w:r>
        <w:t>萌芽赛道主要面向仍处于早期探索阶段、尚未完全成型但具备明显创新潜力和成长空间的项目。本赛道重点考察项目的早期创新苗头、问题洞察能力、探索过程可信度和成长可塑性，不单纯以当前完成度作为评判标准。</w:t>
      </w:r>
    </w:p>
    <w:p w14:paraId="7EC567E1">
      <w:pPr>
        <w:pStyle w:val="9"/>
        <w:bidi w:val="0"/>
        <w:rPr>
          <w:rFonts w:hint="eastAsia"/>
          <w:lang w:val="en-US" w:eastAsia="zh-CN"/>
        </w:rPr>
      </w:pPr>
      <w:r>
        <w:rPr>
          <w:rFonts w:hint="eastAsia"/>
          <w:lang w:val="en-US" w:eastAsia="zh-CN"/>
        </w:rPr>
        <w:t>萌芽赛道鼓励参赛团队从学习生活、校园服务、社会观察、行业需求和技术趋势中发现问题，形成初步解决思路，并通过调研、访谈、观察、实验、设计草图或基础验证等方式证明项目具有进一步培育价值。</w:t>
      </w:r>
    </w:p>
    <w:p w14:paraId="4B51D6B1">
      <w:pPr>
        <w:pStyle w:val="10"/>
        <w:bidi w:val="0"/>
        <w:rPr>
          <w:rFonts w:hint="eastAsia"/>
          <w:lang w:val="en-US" w:eastAsia="zh-CN"/>
        </w:rPr>
      </w:pPr>
      <w:r>
        <w:rPr>
          <w:rFonts w:hint="eastAsia"/>
          <w:lang w:val="en-US" w:eastAsia="zh-CN"/>
        </w:rPr>
        <w:t>（二）创意赛道</w:t>
      </w:r>
    </w:p>
    <w:p w14:paraId="06559577">
      <w:pPr>
        <w:pStyle w:val="9"/>
        <w:bidi w:val="0"/>
        <w:rPr>
          <w:rFonts w:hint="eastAsia"/>
          <w:lang w:val="en-US" w:eastAsia="zh-CN"/>
        </w:rPr>
      </w:pPr>
      <w:r>
        <w:t>创意赛道主要面向已经形成较为明确的问题意识、应用方向和产品构想的项目。本赛道适用于处于方案设计、原型构思、功能规划或轻量化验证阶段的团队。项目不要求已经形成成熟产品或进入实际运营阶段，但须具备相对清晰的问题界定、目标用户、应用逻辑和实施路径。</w:t>
      </w:r>
    </w:p>
    <w:p w14:paraId="0E26A1E6">
      <w:pPr>
        <w:pStyle w:val="9"/>
        <w:bidi w:val="0"/>
        <w:rPr>
          <w:rFonts w:hint="eastAsia"/>
          <w:lang w:val="en-US" w:eastAsia="zh-CN"/>
        </w:rPr>
      </w:pPr>
      <w:r>
        <w:rPr>
          <w:rFonts w:hint="eastAsia"/>
          <w:lang w:val="en-US" w:eastAsia="zh-CN"/>
        </w:rPr>
        <w:t>创意赛道旨在发现方向正确、价值明确、逻辑完整、延展性较强的优质项目源头。评审重点围绕项目能否清楚回答“解决什么问题、服务什么人群、通过什么方案解决、为什么具有创新性、下一步如何推进”等关键问题展开。</w:t>
      </w:r>
    </w:p>
    <w:p w14:paraId="083B9FAD">
      <w:pPr>
        <w:pStyle w:val="10"/>
        <w:bidi w:val="0"/>
        <w:rPr>
          <w:rFonts w:hint="eastAsia"/>
          <w:lang w:val="en-US" w:eastAsia="zh-CN"/>
        </w:rPr>
      </w:pPr>
      <w:r>
        <w:rPr>
          <w:rFonts w:hint="eastAsia"/>
          <w:lang w:val="en-US" w:eastAsia="zh-CN"/>
        </w:rPr>
        <w:t>（三）OPC轻创赛道</w:t>
      </w:r>
    </w:p>
    <w:p w14:paraId="42F602FA">
      <w:pPr>
        <w:pStyle w:val="9"/>
        <w:bidi w:val="0"/>
        <w:rPr>
          <w:rFonts w:hint="eastAsia"/>
          <w:lang w:val="en-US" w:eastAsia="zh-CN"/>
        </w:rPr>
      </w:pPr>
      <w:r>
        <w:t>OPC轻创赛道中的“轻创”，定位为轻量化创作、轻量化创新实践和轻量化开发验证，强调小规模、轻组织、强主导、快验证、重实践的特征。本赛道突出核心推动者或核心团队在资源相对有限、组织较为精简条件下完成开发推进和阶段验证的能力，并非限定单人参赛，也不要求项目必须由一人完成；OPC作为轻量化实践导向的赛道名称保留，不作为公司形态或参赛资格要求。</w:t>
      </w:r>
    </w:p>
    <w:p w14:paraId="5353E4F6">
      <w:pPr>
        <w:pStyle w:val="9"/>
        <w:bidi w:val="0"/>
        <w:rPr>
          <w:rFonts w:hint="eastAsia"/>
          <w:lang w:val="en-US" w:eastAsia="zh-CN"/>
        </w:rPr>
      </w:pPr>
      <w:r>
        <w:t>OPC轻创赛道主要面向已经产出部分成果、完成一定验证、具备现场演示条件但尚未进入成熟产品形态的项目。此类项目强调“已有推进、已有成果、能够展示、可以验证、具备落地基础”的实践属性。</w:t>
      </w:r>
    </w:p>
    <w:p w14:paraId="5A604A1C">
      <w:pPr>
        <w:pStyle w:val="9"/>
        <w:bidi w:val="0"/>
        <w:rPr>
          <w:rFonts w:hint="eastAsia"/>
          <w:lang w:val="en-US" w:eastAsia="zh-CN"/>
        </w:rPr>
      </w:pPr>
      <w:r>
        <w:t>本赛道重点考察项目的核心推动者与主线执行路径是否清晰，是否已形成原型、演示版本、系统样机、功能流程、作品案例或验证结果，是否能够以较低资源成本实现较高质量的阶段性验证，是否具备向产品化、系统化或社会化应用方向持续演进的实际基础。</w:t>
      </w:r>
    </w:p>
    <w:p w14:paraId="075DCD69">
      <w:pPr>
        <w:pStyle w:val="8"/>
        <w:bidi w:val="0"/>
        <w:rPr>
          <w:rFonts w:hint="eastAsia"/>
          <w:lang w:val="en-US" w:eastAsia="zh-CN"/>
        </w:rPr>
      </w:pPr>
      <w:bookmarkStart w:id="8" w:name="_Toc1232766842"/>
      <w:r>
        <w:rPr>
          <w:rFonts w:hint="eastAsia"/>
          <w:lang w:val="en-US" w:eastAsia="zh-CN"/>
        </w:rPr>
        <w:br w:type="textWrapping"/>
      </w:r>
      <w:r>
        <w:rPr>
          <w:rFonts w:hint="eastAsia"/>
          <w:lang w:val="en-US" w:eastAsia="zh-CN"/>
        </w:rPr>
        <w:t>九、参赛资格与组队规则</w:t>
      </w:r>
      <w:bookmarkEnd w:id="8"/>
    </w:p>
    <w:p w14:paraId="1BEE7E85">
      <w:pPr>
        <w:pStyle w:val="10"/>
        <w:bidi w:val="0"/>
        <w:rPr>
          <w:rFonts w:hint="eastAsia"/>
          <w:lang w:val="en-US" w:eastAsia="zh-CN"/>
        </w:rPr>
      </w:pPr>
      <w:r>
        <w:rPr>
          <w:rFonts w:hint="eastAsia"/>
          <w:lang w:val="en-US" w:eastAsia="zh-CN"/>
        </w:rPr>
        <w:t>（一）基本规则</w:t>
      </w:r>
    </w:p>
    <w:p w14:paraId="3E55D08F">
      <w:pPr>
        <w:pStyle w:val="9"/>
        <w:bidi w:val="0"/>
        <w:rPr>
          <w:rFonts w:hint="eastAsia"/>
          <w:lang w:val="en-US" w:eastAsia="zh-CN"/>
        </w:rPr>
      </w:pPr>
      <w:r>
        <w:rPr>
          <w:rFonts w:hint="eastAsia"/>
          <w:lang w:val="en-US" w:eastAsia="zh-CN"/>
        </w:rPr>
        <w:t>参赛项目原则上以团队形式申报。团队组建应坚持项目真实、成员真实、分工明确、协作有效的原则。各团队须明确项目负责人，项目负责人对项目整体情况、报名信息、材料提交、展示内容及答辩表现承担主体责任。</w:t>
      </w:r>
    </w:p>
    <w:p w14:paraId="48993E19">
      <w:pPr>
        <w:pStyle w:val="9"/>
        <w:bidi w:val="0"/>
        <w:rPr>
          <w:rFonts w:hint="eastAsia"/>
          <w:lang w:val="en-US" w:eastAsia="zh-CN"/>
        </w:rPr>
      </w:pPr>
      <w:r>
        <w:rPr>
          <w:rFonts w:hint="eastAsia"/>
          <w:lang w:val="en-US" w:eastAsia="zh-CN"/>
        </w:rPr>
        <w:t>团队成员须对项目作出实际贡献，不得挂名参赛，不得借用他人成果参赛，不得冒用他人身份参赛，不得虚构团队成员、项目基础、用户数据、合作资源或运营成果。</w:t>
      </w:r>
    </w:p>
    <w:p w14:paraId="2FD56DF9">
      <w:pPr>
        <w:pStyle w:val="10"/>
        <w:bidi w:val="0"/>
        <w:rPr>
          <w:rFonts w:hint="eastAsia"/>
          <w:lang w:val="en-US" w:eastAsia="zh-CN"/>
        </w:rPr>
      </w:pPr>
      <w:r>
        <w:rPr>
          <w:rFonts w:hint="eastAsia"/>
          <w:lang w:val="en-US" w:eastAsia="zh-CN"/>
        </w:rPr>
        <w:t>（二）人数要求</w:t>
      </w:r>
    </w:p>
    <w:p w14:paraId="7C33C093">
      <w:pPr>
        <w:pStyle w:val="9"/>
        <w:bidi w:val="0"/>
        <w:rPr>
          <w:rFonts w:hint="eastAsia"/>
          <w:lang w:val="en-US" w:eastAsia="zh-CN"/>
        </w:rPr>
      </w:pPr>
      <w:r>
        <w:rPr>
          <w:rFonts w:hint="eastAsia"/>
          <w:lang w:val="en-US" w:eastAsia="zh-CN"/>
        </w:rPr>
        <w:t>参赛项目可由个人或团队申报，不设最低人数要求；团队规模原则上控制在10人以内。因项目复杂度高、跨领域协作需求显著或展示任务繁重等原因确需增加团队人数的，可提交专项说明，经组委会审核后适当放宽，但团队总人数原则上不得超过15人。</w:t>
      </w:r>
    </w:p>
    <w:p w14:paraId="2604E8DC">
      <w:pPr>
        <w:pStyle w:val="9"/>
        <w:bidi w:val="0"/>
        <w:rPr>
          <w:rFonts w:hint="eastAsia"/>
          <w:lang w:val="en-US" w:eastAsia="zh-CN"/>
        </w:rPr>
      </w:pPr>
      <w:r>
        <w:rPr>
          <w:rFonts w:hint="eastAsia"/>
          <w:lang w:val="en-US" w:eastAsia="zh-CN"/>
        </w:rPr>
        <w:t>OPC轻创赛道鼓励小规模、轻组织、强主导的团队形态。对项目形态特殊、成果基础扎实、核心推动关系清晰且经组委会审核认可的项目，可根据实际情况适用人数放宽或专项认定规则。</w:t>
      </w:r>
    </w:p>
    <w:p w14:paraId="4BDC4E95">
      <w:pPr>
        <w:pStyle w:val="10"/>
        <w:bidi w:val="0"/>
        <w:rPr>
          <w:rFonts w:hint="eastAsia"/>
          <w:lang w:val="en-US" w:eastAsia="zh-CN"/>
        </w:rPr>
      </w:pPr>
      <w:r>
        <w:rPr>
          <w:rFonts w:hint="eastAsia"/>
          <w:lang w:val="en-US" w:eastAsia="zh-CN"/>
        </w:rPr>
        <w:t>（三）人员构成</w:t>
      </w:r>
    </w:p>
    <w:p w14:paraId="7A5D6511">
      <w:pPr>
        <w:pStyle w:val="9"/>
        <w:bidi w:val="0"/>
        <w:rPr>
          <w:rFonts w:hint="eastAsia"/>
          <w:lang w:val="en-US" w:eastAsia="zh-CN"/>
        </w:rPr>
      </w:pPr>
      <w:r>
        <w:t>职教组和高校组参赛团队应由在校学生构成，允许跨校组队。跨校组队项目的组别归属依据项目负责人所在院校及其身份确定。青年创新组可吸纳符合条件的青年项目主体报名参赛，但应如实说明项目主体归属、团队构成、成员贡献及相关权属关系。</w:t>
      </w:r>
    </w:p>
    <w:p w14:paraId="459EEB2A">
      <w:pPr>
        <w:pStyle w:val="9"/>
        <w:bidi w:val="0"/>
        <w:rPr>
          <w:rFonts w:hint="eastAsia"/>
          <w:lang w:val="en-US" w:eastAsia="zh-CN"/>
        </w:rPr>
      </w:pPr>
      <w:r>
        <w:rPr>
          <w:rFonts w:hint="eastAsia"/>
          <w:lang w:val="en-US" w:eastAsia="zh-CN"/>
        </w:rPr>
        <w:t>（四）重复申报限制</w:t>
      </w:r>
    </w:p>
    <w:p w14:paraId="11FCF815">
      <w:pPr>
        <w:pStyle w:val="9"/>
        <w:bidi w:val="0"/>
        <w:rPr>
          <w:rStyle w:val="11"/>
          <w:rFonts w:hint="eastAsia"/>
          <w:lang w:val="en-US" w:eastAsia="zh-CN"/>
        </w:rPr>
      </w:pPr>
      <w:r>
        <w:t>同一项目仅可选择一个赛道报名参赛，不得以相同或高度相似内容重复申报多个赛道。项目一经确定参赛组别和赛道，应按照对应要求提交材料，并接受相应评审标准考核。</w:t>
      </w:r>
    </w:p>
    <w:p w14:paraId="16D15918">
      <w:pPr>
        <w:pStyle w:val="8"/>
        <w:bidi w:val="0"/>
        <w:rPr>
          <w:rStyle w:val="11"/>
          <w:rFonts w:hint="eastAsia"/>
          <w:lang w:val="en-US" w:eastAsia="zh-CN"/>
        </w:rPr>
      </w:pPr>
      <w:bookmarkStart w:id="9" w:name="_Toc190087238"/>
      <w:r>
        <w:br w:type="textWrapping"/>
      </w:r>
      <w:r>
        <w:t>十、参赛项目方向与要求</w:t>
      </w:r>
      <w:bookmarkEnd w:id="9"/>
    </w:p>
    <w:p w14:paraId="2A44402E">
      <w:pPr>
        <w:pStyle w:val="9"/>
        <w:bidi w:val="0"/>
        <w:rPr>
          <w:rFonts w:hint="eastAsia"/>
          <w:lang w:val="en-US" w:eastAsia="zh-CN"/>
        </w:rPr>
      </w:pPr>
      <w:r>
        <w:t>参赛项目须紧密围绕智能应用开发的现实需求，重点面向教育教学、校园服务、智慧生活、文化传播、产业协同、社会治理、公共服务、智能制造、健康服务、数字文创等领域开展。</w:t>
      </w:r>
    </w:p>
    <w:p w14:paraId="257D6F26">
      <w:pPr>
        <w:pStyle w:val="9"/>
        <w:bidi w:val="0"/>
        <w:rPr>
          <w:rFonts w:hint="eastAsia"/>
          <w:lang w:val="en-US" w:eastAsia="zh-CN"/>
        </w:rPr>
      </w:pPr>
      <w:r>
        <w:t>项目类型包括但不限于：AI智能体应用、AI生态应用、智能终端软件、智能硬件交互、AI辅助学习工具、智慧校园服务系统、AI办公与协作工具、数字文创与内容生成应用、智能制造辅助系统、行业智能化解决方案、公共服务智能应用等。</w:t>
      </w:r>
    </w:p>
    <w:p w14:paraId="19408BC4">
      <w:pPr>
        <w:pStyle w:val="9"/>
        <w:bidi w:val="0"/>
        <w:rPr>
          <w:rFonts w:hint="eastAsia"/>
          <w:lang w:val="en-US" w:eastAsia="zh-CN"/>
        </w:rPr>
      </w:pPr>
      <w:r>
        <w:t>大赛不限定编程语言、开发框架、操作系统、芯片平台或终端形态。参赛团队可根据项目目标、技术基础和应用场景自主选择合适的技术路线，但应能够说明关键技术选型、开发过程、团队真实贡献及项目可验证成果。大赛评审坚持技术路线中立原则，不以特定语言、生态、平台或工具链作为准入前提或隐性加分项，重点考察问题解决质量、开发完成度、可验证成果、团队真实贡献和持续迭代能力。</w:t>
      </w:r>
    </w:p>
    <w:p w14:paraId="29B49453">
      <w:pPr>
        <w:pStyle w:val="9"/>
        <w:bidi w:val="0"/>
        <w:rPr>
          <w:rFonts w:hint="eastAsia"/>
          <w:lang w:val="en-US" w:eastAsia="zh-CN"/>
        </w:rPr>
      </w:pPr>
      <w:r>
        <w:rPr>
          <w:rFonts w:hint="eastAsia"/>
          <w:lang w:val="en-US" w:eastAsia="zh-CN"/>
        </w:rPr>
        <w:t>参赛项目必须坚持正确导向，确保内容真实、健康、合法，严禁包含违反国家法律法规、公序良俗和社会公德的内容。项目所涉及的发明创造、专利技术、数据资源、代码成果、设计作品、模型样机、合作资源等，须具有清晰、合法、可明确说明的知识产权归属或使用授权。</w:t>
      </w:r>
    </w:p>
    <w:p w14:paraId="1338B272">
      <w:pPr>
        <w:pStyle w:val="9"/>
        <w:bidi w:val="0"/>
        <w:rPr>
          <w:rFonts w:hint="eastAsia"/>
          <w:lang w:val="en-US" w:eastAsia="zh-CN"/>
        </w:rPr>
      </w:pPr>
      <w:r>
        <w:rPr>
          <w:rFonts w:hint="eastAsia"/>
          <w:lang w:val="en-US" w:eastAsia="zh-CN"/>
        </w:rPr>
        <w:t>大赛允许参赛团队合理使用人工智能工具辅助完成资料整理、方案构思、界面设计、代码辅助、文案优化和演示制作等工作，但不得以生成式人工智能完全替代团队的真实思考、真实研发与真实实践。参赛团队须能够说明人工智能工具在项目中的使用范围、使用方式及团队真实贡献。</w:t>
      </w:r>
    </w:p>
    <w:p w14:paraId="3DEA3908">
      <w:pPr>
        <w:pStyle w:val="8"/>
        <w:bidi w:val="0"/>
        <w:rPr>
          <w:rFonts w:hint="eastAsia"/>
          <w:lang w:val="en-US" w:eastAsia="zh-CN"/>
        </w:rPr>
      </w:pPr>
      <w:bookmarkStart w:id="10" w:name="_Toc1488025977"/>
      <w:r>
        <w:rPr>
          <w:rFonts w:hint="eastAsia"/>
          <w:lang w:val="en-US" w:eastAsia="zh-CN"/>
        </w:rPr>
        <w:br w:type="textWrapping"/>
      </w:r>
      <w:r>
        <w:rPr>
          <w:rFonts w:hint="eastAsia"/>
          <w:lang w:val="en-US" w:eastAsia="zh-CN"/>
        </w:rPr>
        <w:t>十一、材料提交要求</w:t>
      </w:r>
      <w:bookmarkEnd w:id="10"/>
    </w:p>
    <w:p w14:paraId="2888CA67">
      <w:pPr>
        <w:pStyle w:val="10"/>
        <w:bidi w:val="0"/>
        <w:rPr>
          <w:rFonts w:hint="eastAsia"/>
          <w:lang w:val="en-US" w:eastAsia="zh-CN"/>
        </w:rPr>
      </w:pPr>
      <w:r>
        <w:rPr>
          <w:rFonts w:hint="eastAsia"/>
          <w:lang w:val="en-US" w:eastAsia="zh-CN"/>
        </w:rPr>
        <w:t>（一）必交材料</w:t>
      </w:r>
    </w:p>
    <w:p w14:paraId="3C062D64">
      <w:pPr>
        <w:pStyle w:val="9"/>
        <w:bidi w:val="0"/>
        <w:rPr>
          <w:rFonts w:hint="eastAsia"/>
          <w:lang w:val="en-US" w:eastAsia="zh-CN"/>
        </w:rPr>
      </w:pPr>
      <w:r>
        <w:rPr>
          <w:rFonts w:hint="eastAsia"/>
          <w:lang w:val="en-US" w:eastAsia="zh-CN"/>
        </w:rPr>
        <w:t>1. 项目报告书。系统阐述项目背景、问题界定、目标用户、解决路径、核心创新点、团队构成、阶段成果及后续发展规划，是评审专家全面掌握项目情况的主要依据。</w:t>
      </w:r>
    </w:p>
    <w:p w14:paraId="499E402C">
      <w:pPr>
        <w:pStyle w:val="9"/>
        <w:bidi w:val="0"/>
        <w:rPr>
          <w:rFonts w:hint="eastAsia"/>
          <w:lang w:val="en-US" w:eastAsia="zh-CN"/>
        </w:rPr>
      </w:pPr>
      <w:r>
        <w:rPr>
          <w:rFonts w:hint="eastAsia"/>
          <w:lang w:val="en-US" w:eastAsia="zh-CN"/>
        </w:rPr>
        <w:t>2. 路演演示文稿（PPT）。集中展示项目逻辑体系、核心价值、关键创新点、阶段成果和答辩结构安排，为初赛评审或决赛路演提供支撑。</w:t>
      </w:r>
    </w:p>
    <w:p w14:paraId="52F34455">
      <w:pPr>
        <w:pStyle w:val="9"/>
        <w:bidi w:val="0"/>
        <w:rPr>
          <w:rFonts w:hint="eastAsia"/>
          <w:lang w:val="en-US" w:eastAsia="zh-CN"/>
        </w:rPr>
      </w:pPr>
      <w:r>
        <w:rPr>
          <w:rFonts w:hint="eastAsia"/>
          <w:lang w:val="en-US" w:eastAsia="zh-CN"/>
        </w:rPr>
        <w:t>3. 参赛团队信息表。明确项目负责人、团队成员、所在院校或单位、专业背景、职责分工、联系方式及成员贡献说明。</w:t>
      </w:r>
    </w:p>
    <w:p w14:paraId="5FB04E55">
      <w:pPr>
        <w:pStyle w:val="9"/>
        <w:bidi w:val="0"/>
        <w:rPr>
          <w:rFonts w:hint="eastAsia"/>
          <w:lang w:val="en-US" w:eastAsia="zh-CN"/>
        </w:rPr>
      </w:pPr>
      <w:r>
        <w:rPr>
          <w:rFonts w:hint="eastAsia"/>
          <w:lang w:val="en-US" w:eastAsia="zh-CN"/>
        </w:rPr>
        <w:t>4. 项目真实性与知识产权承诺书。由项目负责人代表团队承诺报名信息、项目内容、成果材料、知识产权及团队贡献真实、合法、有效。</w:t>
      </w:r>
    </w:p>
    <w:p w14:paraId="4BC3FFEA">
      <w:pPr>
        <w:pStyle w:val="9"/>
        <w:bidi w:val="0"/>
        <w:rPr>
          <w:rFonts w:hint="eastAsia"/>
          <w:lang w:val="en-US" w:eastAsia="zh-CN"/>
        </w:rPr>
      </w:pPr>
      <w:r>
        <w:t>5. 项目开发与过程证明材料。根据项目阶段提交能够证明真实开发过程和团队贡献的材料，包括但不限于代码仓库截图或提交记录、原型演示链接、功能流程说明、系统截图、测试记录、技术选型说明、关键模块说明、开发日志、版本迭代记录或其他可验证材料。萌芽赛道可提交调研记录、设计草图、低保真原型、基础验证记录等与早期阶段相匹配的证明材料。</w:t>
      </w:r>
    </w:p>
    <w:p w14:paraId="030853E3">
      <w:pPr>
        <w:pStyle w:val="10"/>
        <w:bidi w:val="0"/>
        <w:rPr>
          <w:rFonts w:hint="eastAsia"/>
          <w:lang w:val="en-US" w:eastAsia="zh-CN"/>
        </w:rPr>
      </w:pPr>
      <w:r>
        <w:rPr>
          <w:rFonts w:hint="eastAsia"/>
          <w:lang w:val="en-US" w:eastAsia="zh-CN"/>
        </w:rPr>
        <w:t>（二）条件性材料</w:t>
      </w:r>
    </w:p>
    <w:p w14:paraId="4E70E452">
      <w:pPr>
        <w:pStyle w:val="9"/>
        <w:bidi w:val="0"/>
        <w:rPr>
          <w:rFonts w:hint="eastAsia"/>
          <w:lang w:val="en-US" w:eastAsia="zh-CN"/>
        </w:rPr>
      </w:pPr>
      <w:r>
        <w:rPr>
          <w:rFonts w:hint="eastAsia"/>
          <w:lang w:val="en-US" w:eastAsia="zh-CN"/>
        </w:rPr>
        <w:t>已形成原型、系统样机、演示版本、功能流程、阶段性验证成果或社会化实践成果的项目，应提交最小可演示版本说明、系统截图、演示视频、测试记录、用户反馈、样机照片或访问链接等材料。</w:t>
      </w:r>
    </w:p>
    <w:p w14:paraId="72922834">
      <w:pPr>
        <w:pStyle w:val="9"/>
        <w:bidi w:val="0"/>
        <w:rPr>
          <w:rFonts w:hint="eastAsia"/>
          <w:lang w:val="en-US" w:eastAsia="zh-CN"/>
        </w:rPr>
      </w:pPr>
      <w:r>
        <w:t>涉及公司主体、社会组织、合作单位、第三方技术、数据资源、专利、软著、商标、导师科研成果或企业资源的项目，应提交营业执照、授权文件、合作协议、权属说明、证书材料或其他能够证明项目关系的文件。大赛组委会仅将上述材料用于资格审核、权属确认、授权核验和风险防控，不将其作为公司化参赛要求，也不将其当然纳入评审加分依据。</w:t>
      </w:r>
    </w:p>
    <w:p w14:paraId="5C54A170">
      <w:pPr>
        <w:pStyle w:val="10"/>
        <w:bidi w:val="0"/>
        <w:rPr>
          <w:rFonts w:hint="eastAsia"/>
          <w:lang w:val="en-US" w:eastAsia="zh-CN"/>
        </w:rPr>
      </w:pPr>
      <w:r>
        <w:rPr>
          <w:rFonts w:hint="eastAsia"/>
          <w:lang w:val="en-US" w:eastAsia="zh-CN"/>
        </w:rPr>
        <w:t>（三）各赛道材料侧重</w:t>
      </w:r>
    </w:p>
    <w:p w14:paraId="0016FBAD">
      <w:pPr>
        <w:pStyle w:val="9"/>
        <w:bidi w:val="0"/>
        <w:outlineLvl w:val="9"/>
      </w:pPr>
      <w:r>
        <w:t>萌芽赛道应重点反映问题来源、前期探索过程、创新方向可行性、成长潜力及初步验证基础。创意赛道应重点突出问题精准界定、创意方案创新性、产品构想合理性、应用逻辑完整性和表达系统性。OPC轻创赛道应重点说明核心推动者作用、实践推进路径、阶段成果、演示能力、低成本验证效率、场景落地基础和持续迭代可能性。</w:t>
      </w:r>
    </w:p>
    <w:p w14:paraId="3311BA61">
      <w:pPr>
        <w:pStyle w:val="9"/>
        <w:bidi w:val="0"/>
        <w:ind w:left="0" w:leftChars="0" w:firstLine="0" w:firstLineChars="0"/>
        <w:outlineLvl w:val="0"/>
        <w:rPr>
          <w:rStyle w:val="11"/>
          <w:rFonts w:hint="eastAsia"/>
          <w:lang w:val="en-US" w:eastAsia="zh-CN"/>
        </w:rPr>
      </w:pPr>
      <w:bookmarkStart w:id="11" w:name="_Toc1805526124"/>
      <w:r>
        <w:rPr>
          <w:rStyle w:val="11"/>
          <w:rFonts w:hint="eastAsia"/>
          <w:lang w:val="en-US" w:eastAsia="zh-CN"/>
        </w:rPr>
        <w:t>十二、评审办法与评分导向</w:t>
      </w:r>
      <w:bookmarkEnd w:id="11"/>
    </w:p>
    <w:p w14:paraId="17B3270D">
      <w:pPr>
        <w:pStyle w:val="9"/>
        <w:bidi w:val="0"/>
        <w:rPr>
          <w:rFonts w:hint="eastAsia"/>
          <w:lang w:val="en-US" w:eastAsia="zh-CN"/>
        </w:rPr>
      </w:pPr>
      <w:r>
        <w:rPr>
          <w:rFonts w:hint="eastAsia"/>
          <w:lang w:val="en-US" w:eastAsia="zh-CN"/>
        </w:rPr>
        <w:t>大赛评审工作坚持分组评价、分道评价、分阶段评价、公开规范评价的原则，确保不同参赛组别及不同赛道项目在相适应的评价体系内接受公正、科学的评审。</w:t>
      </w:r>
    </w:p>
    <w:p w14:paraId="607EF37D">
      <w:pPr>
        <w:pStyle w:val="10"/>
        <w:bidi w:val="0"/>
        <w:rPr>
          <w:rFonts w:hint="eastAsia"/>
          <w:lang w:val="en-US" w:eastAsia="zh-CN"/>
        </w:rPr>
      </w:pPr>
      <w:r>
        <w:rPr>
          <w:rFonts w:hint="eastAsia"/>
          <w:lang w:val="en-US" w:eastAsia="zh-CN"/>
        </w:rPr>
        <w:t>（一）评审方式</w:t>
      </w:r>
    </w:p>
    <w:p w14:paraId="6D3F8B50">
      <w:pPr>
        <w:pStyle w:val="9"/>
        <w:bidi w:val="0"/>
        <w:rPr>
          <w:rFonts w:hint="eastAsia"/>
          <w:lang w:val="en-US" w:eastAsia="zh-CN"/>
        </w:rPr>
      </w:pPr>
      <w:r>
        <w:t>初赛阶段原则上采取材料评审方式，重点审查项目材料完整性、逻辑清晰度、开发过程证据、成果基础、发展潜力及赛道适配性。根据报名规模和项目类型，可增设线上陈述、视频展示或专家线上问答环节。</w:t>
      </w:r>
    </w:p>
    <w:p w14:paraId="20463D59">
      <w:pPr>
        <w:pStyle w:val="9"/>
        <w:bidi w:val="0"/>
        <w:rPr>
          <w:rFonts w:hint="eastAsia"/>
          <w:lang w:val="en-US" w:eastAsia="zh-CN"/>
        </w:rPr>
      </w:pPr>
      <w:r>
        <w:t>决赛阶段采取路演展示与专家答辩相结合的方式进行，重点考察项目展示效果、现场表达能力、专家问答质量、成果真实性、开发完成度、演示完成度和后续迭代能力。评审专家依据参赛组别与赛道设置进行分类评审，并严格执行回避制度。</w:t>
      </w:r>
    </w:p>
    <w:p w14:paraId="06320EA6">
      <w:pPr>
        <w:pStyle w:val="10"/>
        <w:bidi w:val="0"/>
        <w:rPr>
          <w:rFonts w:hint="eastAsia"/>
          <w:lang w:val="en-US" w:eastAsia="zh-CN"/>
        </w:rPr>
      </w:pPr>
      <w:r>
        <w:rPr>
          <w:rFonts w:hint="eastAsia"/>
          <w:lang w:val="en-US" w:eastAsia="zh-CN"/>
        </w:rPr>
        <w:t>（二）组别评价导向</w:t>
      </w:r>
    </w:p>
    <w:p w14:paraId="2696C903">
      <w:pPr>
        <w:pStyle w:val="9"/>
        <w:bidi w:val="0"/>
        <w:rPr>
          <w:rFonts w:hint="eastAsia"/>
          <w:lang w:val="en-US" w:eastAsia="zh-CN"/>
        </w:rPr>
      </w:pPr>
      <w:r>
        <w:t>职教组适度提升创意表达、技能应用、场景适配及实践可操作性等方面的评价权重；高校组保持创意构想、产品设计、技术实现、场景应用、验证质量、表达呈现与成长潜力的均衡评价，不因参赛成员处于本科或研究生阶段而拆分评审序列；青年创新组适度提升需求真实性、组织能力、推广可行性、成果落地性及持续推进能力等方面的评价权重。大赛组委会在各组别评审中坚持技术路线中立原则，不因参赛团队选择特定或非特定编程语言、开发框架、操作系统、芯片平台、终端形态而作倾向性评价。</w:t>
      </w:r>
    </w:p>
    <w:p w14:paraId="120DE638">
      <w:pPr>
        <w:pStyle w:val="10"/>
        <w:bidi w:val="0"/>
        <w:rPr>
          <w:rFonts w:hint="eastAsia"/>
          <w:lang w:val="en-US" w:eastAsia="zh-CN"/>
        </w:rPr>
      </w:pPr>
      <w:r>
        <w:rPr>
          <w:rFonts w:hint="eastAsia"/>
          <w:lang w:val="en-US" w:eastAsia="zh-CN"/>
        </w:rPr>
        <w:t>（三）赛道评分参考</w:t>
      </w:r>
    </w:p>
    <w:p w14:paraId="186F8E5F">
      <w:pPr>
        <w:pStyle w:val="9"/>
        <w:bidi w:val="0"/>
        <w:rPr>
          <w:rFonts w:hint="eastAsia"/>
          <w:sz w:val="21"/>
          <w:szCs w:val="21"/>
          <w:lang w:val="en-US" w:eastAsia="zh-CN"/>
        </w:rPr>
      </w:pPr>
      <w:r>
        <w:t>为提升评审执行的统一性和可操作性，各赛道采用百分制评分。大赛组委会将根据实际报名结构、项目类型和专家评审意见，在不改变基本评价导向的前提下，对细化指标进行统一调整，并在正式评审前予以公布。</w:t>
      </w:r>
    </w:p>
    <w:p w14:paraId="29F906E6">
      <w:pPr>
        <w:pStyle w:val="10"/>
        <w:bidi w:val="0"/>
        <w:rPr>
          <w:rFonts w:hint="eastAsia"/>
          <w:lang w:val="en-US" w:eastAsia="zh-CN"/>
        </w:rPr>
      </w:pPr>
      <w:r>
        <w:rPr>
          <w:rFonts w:hint="eastAsia"/>
          <w:lang w:val="en-US" w:eastAsia="zh-CN"/>
        </w:rPr>
        <w:t>（四）成绩形成与结果确认</w:t>
      </w:r>
    </w:p>
    <w:p w14:paraId="197AAD23">
      <w:pPr>
        <w:pStyle w:val="9"/>
        <w:bidi w:val="0"/>
        <w:rPr>
          <w:rFonts w:hint="eastAsia"/>
          <w:lang w:val="en-US" w:eastAsia="zh-CN"/>
        </w:rPr>
      </w:pPr>
      <w:r>
        <w:rPr>
          <w:rFonts w:hint="eastAsia"/>
          <w:lang w:val="en-US" w:eastAsia="zh-CN"/>
        </w:rPr>
        <w:t>初赛成绩主要依据材料评审结果形成；复核评审成绩按照复核规则纳入总体成绩体系；决赛成绩由路演展示、专家问答、材料复核及综合评价共同形成。具体权重由组委会在正式评审细则中明确。评审结果经专家评审委员会汇总、纪律监督委员会复核、组委会确认后发布。</w:t>
      </w:r>
    </w:p>
    <w:p w14:paraId="1F7F1F48">
      <w:pPr>
        <w:pStyle w:val="8"/>
        <w:bidi w:val="0"/>
        <w:rPr>
          <w:rFonts w:hint="eastAsia"/>
          <w:lang w:val="en-US" w:eastAsia="zh-CN"/>
        </w:rPr>
      </w:pPr>
      <w:bookmarkStart w:id="12" w:name="_Toc1533633958"/>
      <w:r>
        <w:rPr>
          <w:rFonts w:hint="eastAsia"/>
          <w:lang w:val="en-US" w:eastAsia="zh-CN"/>
        </w:rPr>
        <w:br w:type="textWrapping"/>
      </w:r>
      <w:r>
        <w:rPr>
          <w:rFonts w:hint="eastAsia"/>
          <w:lang w:val="en-US" w:eastAsia="zh-CN"/>
        </w:rPr>
        <w:t>十三、奖项设置</w:t>
      </w:r>
      <w:bookmarkEnd w:id="12"/>
    </w:p>
    <w:p w14:paraId="5E4557F0">
      <w:pPr>
        <w:pStyle w:val="9"/>
        <w:bidi w:val="0"/>
        <w:rPr>
          <w:rFonts w:hint="eastAsia"/>
          <w:lang w:val="en-US" w:eastAsia="zh-CN"/>
        </w:rPr>
      </w:pPr>
      <w:r>
        <w:rPr>
          <w:rFonts w:hint="eastAsia"/>
          <w:lang w:val="en-US" w:eastAsia="zh-CN"/>
        </w:rPr>
        <w:t>本次大赛奖项设置工作，严格遵循“适度激励、重在育人、兼顾成本、便于兑现”的基本原则，在确保奖项荣誉性与赛事吸引力得到有效落实的前提下，着力优化资源配置，合理控制赛事总体经费支出。</w:t>
      </w:r>
    </w:p>
    <w:p w14:paraId="4BAB2060">
      <w:pPr>
        <w:pStyle w:val="10"/>
        <w:bidi w:val="0"/>
        <w:rPr>
          <w:rFonts w:hint="eastAsia"/>
          <w:lang w:val="en-US" w:eastAsia="zh-CN"/>
        </w:rPr>
      </w:pPr>
      <w:r>
        <w:rPr>
          <w:rFonts w:hint="eastAsia"/>
          <w:lang w:val="en-US" w:eastAsia="zh-CN"/>
        </w:rPr>
        <w:t>（一）主奖项及奖励标准</w:t>
      </w:r>
    </w:p>
    <w:p w14:paraId="3E587408">
      <w:pPr>
        <w:pStyle w:val="9"/>
        <w:bidi w:val="0"/>
        <w:rPr>
          <w:rFonts w:hint="eastAsia"/>
          <w:lang w:val="en-US" w:eastAsia="zh-CN"/>
        </w:rPr>
      </w:pPr>
      <w:r>
        <w:rPr>
          <w:rFonts w:hint="eastAsia"/>
          <w:lang w:val="en-US" w:eastAsia="zh-CN"/>
        </w:rPr>
        <w:t>主奖项继续依据各参赛组别与赛道分别独立排序、独立评定的方式进行，奖项统一设立为金奖、银奖、铜奖及优秀奖。结合当前预算管理要求，具体奖励标准明确如下：</w:t>
      </w:r>
    </w:p>
    <w:p w14:paraId="50353AE9">
      <w:pPr>
        <w:pStyle w:val="9"/>
        <w:bidi w:val="0"/>
        <w:rPr>
          <w:rFonts w:hint="eastAsia"/>
          <w:lang w:val="en-US" w:eastAsia="zh-CN"/>
        </w:rPr>
      </w:pPr>
      <w:r>
        <w:rPr>
          <w:rFonts w:hint="eastAsia"/>
          <w:lang w:val="en-US" w:eastAsia="zh-CN"/>
        </w:rPr>
        <w:t>1. 金奖：每项授予人民币10000元（壹万元）奖金，并颁发奖杯及获奖证书；合作资源奖励事项纳入赛事奖励体系，具体以获奖通知及资源发放规则为准。</w:t>
      </w:r>
    </w:p>
    <w:p w14:paraId="0791B814">
      <w:pPr>
        <w:pStyle w:val="9"/>
        <w:bidi w:val="0"/>
        <w:rPr>
          <w:rFonts w:hint="eastAsia"/>
          <w:lang w:val="en-US" w:eastAsia="zh-CN"/>
        </w:rPr>
      </w:pPr>
      <w:r>
        <w:rPr>
          <w:rFonts w:hint="eastAsia"/>
          <w:lang w:val="en-US" w:eastAsia="zh-CN"/>
        </w:rPr>
        <w:t>2. 银奖：每项授予人民币5000元（伍千元）奖金，并颁发奖杯及获奖证书；合作单位资源支持事项纳入赛事奖励体系，具体以获奖通知及资源发放规则为准。</w:t>
      </w:r>
    </w:p>
    <w:p w14:paraId="2A374F45">
      <w:pPr>
        <w:pStyle w:val="9"/>
        <w:bidi w:val="0"/>
        <w:rPr>
          <w:rFonts w:hint="eastAsia"/>
          <w:lang w:val="en-US" w:eastAsia="zh-CN"/>
        </w:rPr>
      </w:pPr>
      <w:r>
        <w:rPr>
          <w:rFonts w:hint="eastAsia"/>
          <w:lang w:val="en-US" w:eastAsia="zh-CN"/>
        </w:rPr>
        <w:t>3. 铜奖：每项授予人民币3000元（叁千元）奖金，并颁发奖杯及获奖证书。</w:t>
      </w:r>
    </w:p>
    <w:p w14:paraId="5D956F03">
      <w:pPr>
        <w:pStyle w:val="9"/>
        <w:bidi w:val="0"/>
        <w:rPr>
          <w:rFonts w:hint="eastAsia"/>
          <w:lang w:val="en-US" w:eastAsia="zh-CN"/>
        </w:rPr>
      </w:pPr>
      <w:r>
        <w:rPr>
          <w:rFonts w:hint="eastAsia"/>
          <w:lang w:val="en-US" w:eastAsia="zh-CN"/>
        </w:rPr>
        <w:t>4. 优秀奖：不设现金奖金，统一颁发获奖证书；配套发放纪念品、参赛礼包、专项训练营名额或资源对接权益等非现金奖励，具体以赛事正式通知为准。</w:t>
      </w:r>
    </w:p>
    <w:p w14:paraId="71566D32">
      <w:pPr>
        <w:pStyle w:val="10"/>
        <w:bidi w:val="0"/>
        <w:rPr>
          <w:rFonts w:hint="eastAsia"/>
          <w:lang w:val="en-US" w:eastAsia="zh-CN"/>
        </w:rPr>
      </w:pPr>
      <w:r>
        <w:rPr>
          <w:rFonts w:hint="eastAsia"/>
          <w:lang w:val="en-US" w:eastAsia="zh-CN"/>
        </w:rPr>
        <w:t>（二）专项奖项</w:t>
      </w:r>
    </w:p>
    <w:p w14:paraId="418784DE">
      <w:pPr>
        <w:pStyle w:val="9"/>
        <w:bidi w:val="0"/>
        <w:rPr>
          <w:rFonts w:hint="eastAsia"/>
          <w:lang w:val="en-US" w:eastAsia="zh-CN"/>
        </w:rPr>
      </w:pPr>
      <w:r>
        <w:t>根据项目特色与赛事组织工作需要，设立技术创新奖、场景突破奖、产品匠心奖等专项奖项，重点表彰在技术创新、应用开发、场景落地实践、产品精细化打磨、轻量化开发实践等方面表现突出的项目。专项奖项以授予奖杯、证书、纪念品及相关资源权益为主，不设置现金奖励。</w:t>
      </w:r>
    </w:p>
    <w:p w14:paraId="591EDE2C">
      <w:pPr>
        <w:pStyle w:val="10"/>
        <w:bidi w:val="0"/>
        <w:rPr>
          <w:rFonts w:hint="eastAsia"/>
          <w:lang w:val="en-US" w:eastAsia="zh-CN"/>
        </w:rPr>
      </w:pPr>
      <w:r>
        <w:rPr>
          <w:rFonts w:hint="eastAsia"/>
          <w:lang w:val="en-US" w:eastAsia="zh-CN"/>
        </w:rPr>
        <w:t>（三）组织支持类奖项</w:t>
      </w:r>
    </w:p>
    <w:p w14:paraId="541B92B7">
      <w:pPr>
        <w:pStyle w:val="9"/>
        <w:bidi w:val="0"/>
        <w:rPr>
          <w:rFonts w:hint="eastAsia"/>
          <w:lang w:val="en-US" w:eastAsia="zh-CN"/>
        </w:rPr>
      </w:pPr>
      <w:r>
        <w:rPr>
          <w:rFonts w:hint="eastAsia"/>
          <w:lang w:val="en-US" w:eastAsia="zh-CN"/>
        </w:rPr>
        <w:t>基于赛事组织工作质量与育人实效，设立优秀指导教师奖、卓越组织奖、协同育人奖等组织支持类奖项。此类奖项以荣誉表彰、颁发证书、宣传典型案例、在后续合作中予以优先推荐等方式实施，不配置现金奖励。</w:t>
      </w:r>
    </w:p>
    <w:p w14:paraId="4E386FEE">
      <w:pPr>
        <w:pStyle w:val="10"/>
        <w:bidi w:val="0"/>
        <w:rPr>
          <w:rFonts w:hint="eastAsia"/>
          <w:lang w:val="en-US" w:eastAsia="zh-CN"/>
        </w:rPr>
      </w:pPr>
      <w:r>
        <w:rPr>
          <w:rFonts w:hint="eastAsia"/>
          <w:lang w:val="en-US" w:eastAsia="zh-CN"/>
        </w:rPr>
        <w:t>（四）奖项数量确定机制</w:t>
      </w:r>
    </w:p>
    <w:p w14:paraId="75696EAA">
      <w:pPr>
        <w:pStyle w:val="9"/>
        <w:bidi w:val="0"/>
        <w:rPr>
          <w:rFonts w:hint="eastAsia"/>
          <w:lang w:val="en-US" w:eastAsia="zh-CN"/>
        </w:rPr>
      </w:pPr>
      <w:r>
        <w:rPr>
          <w:rFonts w:hint="eastAsia"/>
          <w:lang w:val="en-US" w:eastAsia="zh-CN"/>
        </w:rPr>
        <w:t>各奖项具体数量、获奖比例及最终分配方案，由大赛组委会根据实际报名规模、有效参赛项目数量、各组别与赛道分布情况以及决赛阶段综合表现统筹研究确定，并在正式报名通知或补充实施细则中一次性予以公布，确保公开透明，避免赛后调整引发公平性质疑。</w:t>
      </w:r>
    </w:p>
    <w:p w14:paraId="5569D3CE">
      <w:pPr>
        <w:pStyle w:val="8"/>
        <w:spacing w:after="0" w:line="360" w:lineRule="auto"/>
      </w:pPr>
      <w:bookmarkStart w:id="13" w:name="_Toc1687200812"/>
      <w:r>
        <w:rPr>
          <w:rFonts w:hint="eastAsia"/>
          <w:lang w:val="en-US" w:eastAsia="zh-CN"/>
        </w:rPr>
        <w:br w:type="textWrapping"/>
      </w:r>
      <w:r>
        <w:rPr>
          <w:rFonts w:ascii="黑体" w:hAnsi="黑体" w:eastAsia="黑体"/>
          <w:b w:val="0"/>
          <w:sz w:val="32"/>
        </w:rPr>
        <w:t>十四、赛程安排</w:t>
      </w:r>
      <w:bookmarkEnd w:id="13"/>
    </w:p>
    <w:p w14:paraId="0AF5BE78">
      <w:pPr>
        <w:pStyle w:val="9"/>
        <w:bidi w:val="0"/>
        <w:rPr>
          <w:rFonts w:hint="eastAsia"/>
        </w:rPr>
      </w:pPr>
      <w:r>
        <w:rPr>
          <w:rFonts w:hint="eastAsia"/>
        </w:rPr>
        <w:t>本届大赛自2026年7月1日启动，至2026年9月28日结束，整体周期控制在四个月以内，采取启动发布、报名征集、材料提交、资格审核、线上初赛、复核评审、项目打磨、线下决赛、成果展示与资源对接的组织流程。具体安排如下：</w:t>
      </w:r>
    </w:p>
    <w:p w14:paraId="0F7C7F25">
      <w:pPr>
        <w:pStyle w:val="9"/>
        <w:bidi w:val="0"/>
        <w:rPr>
          <w:rFonts w:hint="eastAsia"/>
        </w:rPr>
      </w:pPr>
      <w:r>
        <w:rPr>
          <w:rFonts w:hint="eastAsia"/>
        </w:rPr>
        <w:t>（1）启动发布、暑期预报名与组织动员：2026年7月1日至8月31日发布赛事通知、执行方案、评分细则及相关模板，开放报名入口，开展线上答疑、院校联系人建联和参赛线索沉淀。暑期不设置报名截止或集中评审节点。</w:t>
      </w:r>
    </w:p>
    <w:p w14:paraId="37B6B12F">
      <w:pPr>
        <w:pStyle w:val="9"/>
        <w:bidi w:val="0"/>
        <w:rPr>
          <w:rFonts w:hint="eastAsia"/>
        </w:rPr>
      </w:pPr>
      <w:r>
        <w:rPr>
          <w:rFonts w:hint="eastAsia"/>
        </w:rPr>
        <w:t>（2）报名征集与材料提交：2026年7月1日至10月31日受理项目报名，组织参赛团队提交项目报告书、路演演示文稿、团队信息表、真实性与知识产权承诺书及项目开发与过程证明材料。其中7月至8月为暑期预报名和线上答疑期，9月至10月31日为开学季集中动员、材料完善和报名转化期。</w:t>
      </w:r>
    </w:p>
    <w:p w14:paraId="0DDC511C">
      <w:pPr>
        <w:pStyle w:val="9"/>
        <w:bidi w:val="0"/>
        <w:rPr>
          <w:rFonts w:hint="eastAsia"/>
        </w:rPr>
      </w:pPr>
      <w:r>
        <w:rPr>
          <w:rFonts w:hint="eastAsia"/>
        </w:rPr>
        <w:t>（3）资格审核与初赛组织：2026年11月1日至11月7日开展材料完整性、资格符合性、赛道适配性和基础合规审查，并组织符合条件的项目进入线上初赛。</w:t>
      </w:r>
    </w:p>
    <w:p w14:paraId="0C1631EC">
      <w:pPr>
        <w:pStyle w:val="9"/>
        <w:bidi w:val="0"/>
        <w:rPr>
          <w:rFonts w:hint="eastAsia"/>
        </w:rPr>
      </w:pPr>
      <w:r>
        <w:rPr>
          <w:rFonts w:hint="eastAsia"/>
        </w:rPr>
        <w:t>（4）初赛评审与入围确认：2026年11月8日至11月15日组织线上材料评审，根据需要设置线上陈述或问答，综合确定拟入围决赛项目。</w:t>
      </w:r>
    </w:p>
    <w:p w14:paraId="3ACEB173">
      <w:pPr>
        <w:pStyle w:val="9"/>
        <w:bidi w:val="0"/>
        <w:rPr>
          <w:rFonts w:hint="eastAsia"/>
        </w:rPr>
      </w:pPr>
      <w:r>
        <w:rPr>
          <w:rFonts w:hint="eastAsia"/>
        </w:rPr>
        <w:t>（5）项目打磨与决赛材料复核：2026年11月16日至12月6日组织入围项目开展展示内容打磨、路演材料完善和演示准备，并对真实性、知识产权、团队成员身份、项目成果及相关证明材料进行复核。</w:t>
      </w:r>
    </w:p>
    <w:p w14:paraId="68C8E343">
      <w:pPr>
        <w:pStyle w:val="9"/>
        <w:bidi w:val="0"/>
        <w:rPr>
          <w:rFonts w:hint="eastAsia"/>
        </w:rPr>
      </w:pPr>
      <w:r>
        <w:rPr>
          <w:rFonts w:hint="eastAsia"/>
        </w:rPr>
        <w:t>（6）线下决赛与成果展示：2026年12月12日至12月13日组织线下路演答辩、项目展示、奖项评定、颁奖仪式和资源对接活动。</w:t>
      </w:r>
    </w:p>
    <w:p w14:paraId="273C5BDE">
      <w:pPr>
        <w:pStyle w:val="9"/>
        <w:bidi w:val="0"/>
      </w:pPr>
      <w:r>
        <w:rPr>
          <w:rFonts w:hint="eastAsia"/>
        </w:rPr>
        <w:t>线下决赛采取“6至8分钟路演展示+4至5分钟专家问答”的方式进行。参赛团队应围绕问题来源、技术方案、阶段成果、演示内容、团队贡献和后续计划进行集中展示。具体时间、地点及入围安排以组委会后续通知为准。</w:t>
      </w:r>
    </w:p>
    <w:p w14:paraId="43C4481B">
      <w:pPr>
        <w:pStyle w:val="8"/>
        <w:spacing w:after="0" w:line="360" w:lineRule="auto"/>
      </w:pPr>
      <w:bookmarkStart w:id="14" w:name="_Toc1409972296"/>
      <w:r>
        <w:rPr>
          <w:rFonts w:ascii="黑体" w:hAnsi="黑体" w:eastAsia="黑体"/>
          <w:b w:val="0"/>
          <w:sz w:val="32"/>
        </w:rPr>
        <w:br w:type="textWrapping"/>
      </w:r>
      <w:r>
        <w:rPr>
          <w:rFonts w:ascii="黑体" w:hAnsi="黑体" w:eastAsia="黑体"/>
          <w:b w:val="0"/>
          <w:sz w:val="32"/>
        </w:rPr>
        <w:t>十五、赛事服务与项目培育</w:t>
      </w:r>
      <w:bookmarkEnd w:id="14"/>
    </w:p>
    <w:p w14:paraId="295A96FC">
      <w:pPr>
        <w:pStyle w:val="9"/>
        <w:bidi w:val="0"/>
      </w:pPr>
      <w:r>
        <w:t>大赛组委会围绕项目成长全过程提供必要服务支持，着力把赛事建设为兼具项目展示、能力提升和持续培育功能的平台。赛事期间，组委会将根据实际需要组织赛前辅导、材料规范培训、AI应用工作坊、智能应用开发指导、项目路演训练和专家诊断活动，帮助参赛团队提升项目质量和展示能力。</w:t>
      </w:r>
    </w:p>
    <w:p w14:paraId="6F68454E">
      <w:pPr>
        <w:pStyle w:val="9"/>
        <w:bidi w:val="0"/>
      </w:pPr>
      <w:r>
        <w:t>对具有较好成长潜力的项目，大赛组委会将积极联动高校、企业、技术平台、孵化机构、投资机构等资源，视项目情况提供技术测试、场景对接、导师辅导、展示传播、试点应用和后续项目培育等服务。对OPC轻创赛道中已有明确成果基础的项目，组委会将优先推动其开展用户反馈收集、产品迭代、应用场景验证和社会化展示。</w:t>
      </w:r>
    </w:p>
    <w:p w14:paraId="1BDD66EF">
      <w:pPr>
        <w:pStyle w:val="9"/>
        <w:bidi w:val="0"/>
      </w:pPr>
      <w:r>
        <w:t>大赛组委会将坚持真实、稳健、适度原则开展赛事成果宣传，重点展示优秀项目的创新过程、实践成果、团队成长和应用价值，避免过度包装、夸大宣传或以不实宣传话术替代赛事育人导向。</w:t>
      </w:r>
    </w:p>
    <w:p w14:paraId="178B713A">
      <w:pPr>
        <w:pStyle w:val="8"/>
        <w:bidi w:val="0"/>
      </w:pPr>
      <w:bookmarkStart w:id="15" w:name="_Toc2069817874"/>
      <w:r>
        <w:br w:type="textWrapping"/>
      </w:r>
      <w:r>
        <w:t>十六、报名费用</w:t>
      </w:r>
      <w:bookmarkEnd w:id="15"/>
    </w:p>
    <w:p w14:paraId="7078AB1C">
      <w:pPr>
        <w:pStyle w:val="9"/>
        <w:bidi w:val="0"/>
        <w:rPr>
          <w:rFonts w:hint="eastAsia"/>
        </w:rPr>
      </w:pPr>
      <w:r>
        <w:rPr>
          <w:rFonts w:hint="eastAsia"/>
        </w:rPr>
        <w:t>本次大赛各参赛组别、各赛道报名费统一标准为每人50元。参赛团队须按实际报名人数缴纳相应费用，即每队报名费用计算公式为：50元/人 × 实际报名人数。</w:t>
      </w:r>
    </w:p>
    <w:p w14:paraId="36F90150">
      <w:pPr>
        <w:pStyle w:val="9"/>
        <w:bidi w:val="0"/>
        <w:rPr>
          <w:rFonts w:hint="eastAsia"/>
        </w:rPr>
      </w:pPr>
      <w:r>
        <w:rPr>
          <w:rFonts w:hint="eastAsia"/>
        </w:rPr>
        <w:t>报名费用主要用于赛事报名服务、资格审核、材料整理、初赛评审组织、电子证书制作、入围项目管理、信息发布、票据开具及赛事执行所需的必要支出。组委会</w:t>
      </w:r>
      <w:r>
        <w:rPr>
          <w:rFonts w:hint="eastAsia"/>
          <w:lang w:val="en-US" w:eastAsia="zh-CN"/>
        </w:rPr>
        <w:t>将</w:t>
      </w:r>
      <w:r>
        <w:rPr>
          <w:rFonts w:hint="eastAsia"/>
        </w:rPr>
        <w:t>在正式报名通知中明确收款主体、缴费方式、票据类型、开票流程、退费规则及咨询渠道，确保收费事项公开、透明、可追溯。</w:t>
      </w:r>
    </w:p>
    <w:p w14:paraId="7A1EADFA">
      <w:pPr>
        <w:pStyle w:val="9"/>
        <w:bidi w:val="0"/>
        <w:rPr>
          <w:rFonts w:hint="eastAsia"/>
        </w:rPr>
      </w:pPr>
      <w:r>
        <w:rPr>
          <w:rFonts w:hint="eastAsia"/>
        </w:rPr>
        <w:t>报名</w:t>
      </w:r>
      <w:r>
        <w:rPr>
          <w:rFonts w:hint="eastAsia"/>
          <w:lang w:val="en-US" w:eastAsia="zh-CN"/>
        </w:rPr>
        <w:t>流程结束且</w:t>
      </w:r>
      <w:r>
        <w:rPr>
          <w:rFonts w:hint="eastAsia"/>
        </w:rPr>
        <w:t>缴费完成后</w:t>
      </w:r>
      <w:r>
        <w:rPr>
          <w:rFonts w:hint="eastAsia"/>
          <w:lang w:val="en-US" w:eastAsia="zh-CN"/>
        </w:rPr>
        <w:t>原则上</w:t>
      </w:r>
      <w:r>
        <w:rPr>
          <w:rFonts w:hint="eastAsia"/>
        </w:rPr>
        <w:t>不予退费。因资格审核未通过、赛事组织安排重大调整、不可抗力或组委会认定的其他特殊情形确需退费的，按照正式报名通知中公布的规则执行。对因参赛团队自身原因放弃参赛、逾期未提交材料、提交材料不符合要求且未按期补正等情形，不予退费。</w:t>
      </w:r>
    </w:p>
    <w:p w14:paraId="780970E0">
      <w:pPr>
        <w:pStyle w:val="9"/>
        <w:bidi w:val="0"/>
        <w:rPr>
          <w:rFonts w:hint="eastAsia"/>
        </w:rPr>
      </w:pPr>
      <w:r>
        <w:rPr>
          <w:rFonts w:hint="eastAsia"/>
        </w:rPr>
        <w:t>大赛组委会将收费事项纳入赛事财务管理和监督范围。赛事执行秘书处建立缴费台账、票据台账和退费台账，确保费用收取、使用及退还过程有据可查。</w:t>
      </w:r>
    </w:p>
    <w:p w14:paraId="27DF8B86">
      <w:pPr>
        <w:pStyle w:val="8"/>
        <w:bidi w:val="0"/>
      </w:pPr>
      <w:bookmarkStart w:id="16" w:name="_Toc341410565"/>
      <w:r>
        <w:rPr>
          <w:rFonts w:hint="eastAsia" w:ascii="仿宋" w:hAnsi="仿宋" w:eastAsia="仿宋"/>
          <w:b w:val="0"/>
        </w:rPr>
        <w:br w:type="textWrapping"/>
      </w:r>
      <w:r>
        <w:t>十七、风险处置</w:t>
      </w:r>
      <w:bookmarkEnd w:id="16"/>
    </w:p>
    <w:p w14:paraId="134A3C4B">
      <w:pPr>
        <w:pStyle w:val="9"/>
        <w:bidi w:val="0"/>
        <w:rPr>
          <w:rFonts w:hint="eastAsia"/>
        </w:rPr>
      </w:pPr>
      <w:r>
        <w:t>大赛组委会将围绕“资格审核—线上初赛—复核评审—线下决赛”赛制，建立健全全过程风险防控与处置机制，切实防范赛事组织过程中的管理风险、合规风险及线下决赛现场风险。重点风险类型及相应处置措施如下：</w:t>
      </w:r>
    </w:p>
    <w:p w14:paraId="4936E59F">
      <w:pPr>
        <w:pStyle w:val="10"/>
        <w:bidi w:val="0"/>
        <w:rPr>
          <w:rFonts w:hint="eastAsia"/>
        </w:rPr>
      </w:pPr>
      <w:r>
        <w:t>（一）资格审核与合规风险</w:t>
      </w:r>
    </w:p>
    <w:p w14:paraId="2169828A">
      <w:pPr>
        <w:pStyle w:val="9"/>
        <w:bidi w:val="0"/>
        <w:rPr>
          <w:rFonts w:hint="eastAsia"/>
        </w:rPr>
      </w:pPr>
      <w:r>
        <w:rPr>
          <w:rFonts w:hint="eastAsia"/>
        </w:rPr>
        <w:t>主要情形：报名项目存在参赛身份不符、申报材料不全、赛道选择错误、知识产权权属不清、项目内容不实或重复申报等问题。</w:t>
      </w:r>
    </w:p>
    <w:p w14:paraId="62501DC0">
      <w:pPr>
        <w:pStyle w:val="9"/>
        <w:bidi w:val="0"/>
        <w:rPr>
          <w:rFonts w:hint="eastAsia"/>
        </w:rPr>
      </w:pPr>
      <w:r>
        <w:rPr>
          <w:rFonts w:hint="eastAsia"/>
        </w:rPr>
        <w:t>处置措施：一是制定统一的报名材料清单与形式审查标准，实行系统自动校验与人工复核相结合的双重审查机制；二是对关键申报信息实行一次性告知与限时补正制度，杜绝因标准不明导致的争议；三是对查实存在弄虚作假、冒名顶替、伪造材料等违规行为的项目，一律取消其参赛资格。</w:t>
      </w:r>
    </w:p>
    <w:p w14:paraId="3D62A256">
      <w:pPr>
        <w:pStyle w:val="10"/>
        <w:bidi w:val="0"/>
        <w:rPr>
          <w:rFonts w:hint="eastAsia"/>
        </w:rPr>
      </w:pPr>
      <w:r>
        <w:t>（二）线上初赛与复核评审公平性风险</w:t>
      </w:r>
    </w:p>
    <w:p w14:paraId="5FA3E37B">
      <w:pPr>
        <w:pStyle w:val="9"/>
        <w:bidi w:val="0"/>
        <w:rPr>
          <w:rFonts w:hint="eastAsia"/>
        </w:rPr>
      </w:pPr>
      <w:r>
        <w:t>主要情形：参赛团队对线上评审结果提出异议，反映评分标准不清晰、评审过程不公正或复核评审规则不透明。</w:t>
      </w:r>
    </w:p>
    <w:p w14:paraId="3A444033">
      <w:pPr>
        <w:pStyle w:val="9"/>
        <w:bidi w:val="0"/>
        <w:rPr>
          <w:rFonts w:hint="eastAsia"/>
        </w:rPr>
      </w:pPr>
      <w:r>
        <w:t>处置措施：一是赛前公开发布线上初赛评分细则、晋级规则、申诉渠道以及复核评审受理范围；二是严格执行评审专家回避制度，落实评分过程留痕与监督复核机制，确保评审全程可追溯、可核查；三是对进入复核评审的项目统一适用复核标准，杜绝选择性受理或执行标准不一致的情况。</w:t>
      </w:r>
    </w:p>
    <w:p w14:paraId="01D1032D">
      <w:pPr>
        <w:pStyle w:val="10"/>
        <w:bidi w:val="0"/>
        <w:rPr>
          <w:rFonts w:hint="eastAsia"/>
        </w:rPr>
      </w:pPr>
      <w:r>
        <w:rPr>
          <w:rFonts w:hint="eastAsia"/>
        </w:rPr>
        <w:t>（三）线下决赛材料复核风险</w:t>
      </w:r>
    </w:p>
    <w:p w14:paraId="46E47DB6">
      <w:pPr>
        <w:pStyle w:val="9"/>
        <w:bidi w:val="0"/>
        <w:rPr>
          <w:rFonts w:hint="eastAsia"/>
        </w:rPr>
      </w:pPr>
      <w:r>
        <w:rPr>
          <w:rFonts w:hint="eastAsia"/>
        </w:rPr>
        <w:t>主要情形：部分项目在线上评审阶段通过后，于决赛前暴露出材料真实性不足、证明文件不全、核心成员身份异常等问题。</w:t>
      </w:r>
    </w:p>
    <w:p w14:paraId="5EE97C04">
      <w:pPr>
        <w:pStyle w:val="9"/>
        <w:bidi w:val="0"/>
        <w:rPr>
          <w:rFonts w:hint="eastAsia"/>
        </w:rPr>
      </w:pPr>
      <w:r>
        <w:rPr>
          <w:rFonts w:hint="eastAsia"/>
        </w:rPr>
        <w:t>处置措施：一是对拟入围决赛项目组织开展二次材料审查，要求补充提供营业执照、专利证书、软件著作权、导师确认函、合作协议等佐证材料；二是对存在争议的项目进行专项复核并形成书面结论；三是对复核未通过的项目取消其决赛资格，并按规定顺序予以递补。</w:t>
      </w:r>
    </w:p>
    <w:p w14:paraId="62745B84">
      <w:pPr>
        <w:pStyle w:val="10"/>
        <w:bidi w:val="0"/>
        <w:rPr>
          <w:rFonts w:hint="eastAsia"/>
        </w:rPr>
      </w:pPr>
      <w:r>
        <w:rPr>
          <w:rFonts w:hint="eastAsia"/>
        </w:rPr>
        <w:t>（四）线下活动组织与安全风险</w:t>
      </w:r>
    </w:p>
    <w:p w14:paraId="14BA48E3">
      <w:pPr>
        <w:pStyle w:val="9"/>
        <w:bidi w:val="0"/>
        <w:rPr>
          <w:rFonts w:hint="eastAsia"/>
        </w:rPr>
      </w:pPr>
      <w:r>
        <w:rPr>
          <w:rFonts w:hint="eastAsia"/>
        </w:rPr>
        <w:t>主要情形：线下决赛期间可能出现设备故障、现场秩序混乱、人员过度聚集、电力网络中断、参赛人员身体不适或消防安全隐患等突发情况。</w:t>
      </w:r>
    </w:p>
    <w:p w14:paraId="5522D424">
      <w:pPr>
        <w:pStyle w:val="9"/>
        <w:bidi w:val="0"/>
        <w:rPr>
          <w:rFonts w:hint="eastAsia"/>
        </w:rPr>
      </w:pPr>
      <w:r>
        <w:rPr>
          <w:rFonts w:hint="eastAsia"/>
        </w:rPr>
        <w:t>处置措施：一是提前组织场地踏勘、设备联调、流程彩排与安全隐患排查；二是配置备用电脑、音响、投影及网络设备，确保关键环节不断档、不掉线；三是建立健全现场安保、医疗救护、消防应急及信息上报联动机制，确保突发情况发生时能够第一时间有效处置、控制影响。</w:t>
      </w:r>
    </w:p>
    <w:p w14:paraId="7BF6C088">
      <w:pPr>
        <w:pStyle w:val="10"/>
        <w:bidi w:val="0"/>
        <w:rPr>
          <w:rFonts w:hint="eastAsia"/>
        </w:rPr>
      </w:pPr>
      <w:r>
        <w:rPr>
          <w:rFonts w:hint="eastAsia"/>
        </w:rPr>
        <w:t>（五）奖项兑现与结果发布风险</w:t>
      </w:r>
    </w:p>
    <w:p w14:paraId="26B86ED9">
      <w:pPr>
        <w:pStyle w:val="9"/>
        <w:bidi w:val="0"/>
        <w:rPr>
          <w:rFonts w:hint="eastAsia"/>
        </w:rPr>
      </w:pPr>
      <w:r>
        <w:rPr>
          <w:rFonts w:hint="eastAsia"/>
        </w:rPr>
        <w:t>主要情形：因预算执行、流程衔接或信息传达不到位，导致奖金、证书、奖杯发放延迟，或结果公示说明不充分，引发参赛方质疑与负面舆情。</w:t>
      </w:r>
    </w:p>
    <w:p w14:paraId="60590FF5">
      <w:pPr>
        <w:pStyle w:val="9"/>
        <w:bidi w:val="0"/>
        <w:rPr>
          <w:rFonts w:hint="eastAsia"/>
        </w:rPr>
      </w:pPr>
      <w:r>
        <w:rPr>
          <w:rFonts w:hint="eastAsia"/>
        </w:rPr>
        <w:t>处置措施：一是提前明确奖项发放标准、责任部门、时间节点与签收程序；二是决赛结束后及时公示获奖名单并附结果说明，同步发布评审答疑口径；三是对确需延期兑现的事项，由组委会统一说明原因并公布后续推进时间表。</w:t>
      </w:r>
    </w:p>
    <w:p w14:paraId="66E3F93C">
      <w:pPr>
        <w:pStyle w:val="8"/>
        <w:bidi w:val="0"/>
      </w:pPr>
      <w:bookmarkStart w:id="17" w:name="_Toc11061171"/>
      <w:r>
        <w:br w:type="textWrapping"/>
      </w:r>
      <w:r>
        <w:t>十八、附则</w:t>
      </w:r>
      <w:bookmarkEnd w:id="17"/>
    </w:p>
    <w:p w14:paraId="3FDDF037">
      <w:pPr>
        <w:pStyle w:val="9"/>
        <w:bidi w:val="0"/>
      </w:pPr>
      <w:r>
        <w:t>本方案作为全国大学生智能应用开发大赛组织实施的基础文件。赛事实施细则、报名通知、评审规则、证书样式、费用说明、申报书模板及其他配套文件，均以组委会正式发布内容为准。</w:t>
      </w:r>
    </w:p>
    <w:p w14:paraId="536BFD2B">
      <w:pPr>
        <w:pStyle w:val="9"/>
        <w:bidi w:val="0"/>
        <w:rPr>
          <w:rFonts w:hint="eastAsia"/>
          <w:lang w:val="en-US" w:eastAsia="zh-CN"/>
        </w:rPr>
      </w:pPr>
      <w:r>
        <w:t>各参赛团队须严格遵守赛事规则，如实填报报名信息、身份信息、项目材料及相关说明，并按要求全程参与评审、展示和答辩等环节。凡经查实存在弄虚作假、侵权违规、冒名参赛、虚假包装等行为的，组委会将取消其参赛资格、获奖资格及相关荣誉；情节严重的，纳入赛事诚信管理范围，并保留依法依规进一步处理的权利。</w:t>
      </w:r>
    </w:p>
    <w:sectPr>
      <w:footerReference r:id="rId14" w:type="first"/>
      <w:footerReference r:id="rId13" w:type="default"/>
      <w:pgSz w:w="11906" w:h="16838"/>
      <w:pgMar w:top="1440" w:right="1800" w:bottom="1440" w:left="1800" w:header="907" w:footer="992" w:gutter="0"/>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FZSJ-FANGSGBTTOT">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FZSJ-KAITGBTTOT">
    <w:panose1 w:val="02000000000000000000"/>
    <w:charset w:val="86"/>
    <w:family w:val="auto"/>
    <w:pitch w:val="default"/>
    <w:sig w:usb0="A00002BF" w:usb1="184F6CFA" w:usb2="00000012" w:usb3="00000000" w:csb0="00040001" w:csb1="00000000"/>
  </w:font>
  <w:font w:name="方正楷体_GB2312">
    <w:panose1 w:val="02000000000000000000"/>
    <w:charset w:val="86"/>
    <w:family w:val="auto"/>
    <w:pitch w:val="default"/>
    <w:sig w:usb0="A00002BF" w:usb1="184F6CFA" w:usb2="00000012" w:usb3="00000000" w:csb0="00040001" w:csb1="00000000"/>
  </w:font>
  <w:font w:name="方正小标宋简体">
    <w:panose1 w:val="02000000000000000000"/>
    <w:charset w:val="86"/>
    <w:family w:val="auto"/>
    <w:pitch w:val="default"/>
    <w:sig w:usb0="00000001" w:usb1="08000000" w:usb2="0000000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DF035">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079E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E745">
    <w:pPr>
      <w:pStyle w:val="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4A2C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5CDA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2E5CDA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AF1CB">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B6538">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2</w:t>
                          </w:r>
                          <w:r>
                            <w:rPr>
                              <w:rFonts w:hint="eastAsia" w:ascii="方正仿宋_GB2312" w:hAnsi="方正仿宋_GB2312" w:eastAsia="方正仿宋_GB2312" w:cs="方正仿宋_GB2312"/>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6CB6538">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2</w:t>
                    </w:r>
                    <w:r>
                      <w:rPr>
                        <w:rFonts w:hint="eastAsia" w:ascii="方正仿宋_GB2312" w:hAnsi="方正仿宋_GB2312" w:eastAsia="方正仿宋_GB2312" w:cs="方正仿宋_GB2312"/>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6775D">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161B57">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 xml:space="preserve">— </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3</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3161B57">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 xml:space="preserve">— </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3</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1443C">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23465">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 xml:space="preserve">— </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2</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A23465">
                    <w:pPr>
                      <w:pStyle w:val="2"/>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 xml:space="preserve">— </w:t>
                    </w:r>
                    <w:r>
                      <w:rPr>
                        <w:rFonts w:hint="eastAsia" w:ascii="方正仿宋_GB2312" w:hAnsi="方正仿宋_GB2312" w:eastAsia="方正仿宋_GB2312" w:cs="方正仿宋_GB2312"/>
                        <w:sz w:val="28"/>
                        <w:szCs w:val="28"/>
                      </w:rPr>
                      <w:fldChar w:fldCharType="begin"/>
                    </w:r>
                    <w:r>
                      <w:rPr>
                        <w:rFonts w:hint="eastAsia" w:ascii="方正仿宋_GB2312" w:hAnsi="方正仿宋_GB2312" w:eastAsia="方正仿宋_GB2312" w:cs="方正仿宋_GB2312"/>
                        <w:sz w:val="28"/>
                        <w:szCs w:val="28"/>
                      </w:rPr>
                      <w:instrText xml:space="preserve"> PAGE  \* MERGEFORMAT </w:instrText>
                    </w:r>
                    <w:r>
                      <w:rPr>
                        <w:rFonts w:hint="eastAsia" w:ascii="方正仿宋_GB2312" w:hAnsi="方正仿宋_GB2312" w:eastAsia="方正仿宋_GB2312" w:cs="方正仿宋_GB2312"/>
                        <w:sz w:val="28"/>
                        <w:szCs w:val="28"/>
                      </w:rPr>
                      <w:fldChar w:fldCharType="separate"/>
                    </w:r>
                    <w:r>
                      <w:rPr>
                        <w:rFonts w:hint="eastAsia" w:ascii="方正仿宋_GB2312" w:hAnsi="方正仿宋_GB2312" w:eastAsia="方正仿宋_GB2312" w:cs="方正仿宋_GB2312"/>
                        <w:sz w:val="28"/>
                        <w:szCs w:val="28"/>
                      </w:rPr>
                      <w:t>2</w:t>
                    </w:r>
                    <w:r>
                      <w:rPr>
                        <w:rFonts w:hint="eastAsia" w:ascii="方正仿宋_GB2312" w:hAnsi="方正仿宋_GB2312" w:eastAsia="方正仿宋_GB2312" w:cs="方正仿宋_GB2312"/>
                        <w:sz w:val="28"/>
                        <w:szCs w:val="28"/>
                      </w:rPr>
                      <w:fldChar w:fldCharType="end"/>
                    </w:r>
                    <w:r>
                      <w:rPr>
                        <w:rFonts w:hint="eastAsia" w:ascii="方正仿宋_GB2312" w:hAnsi="方正仿宋_GB2312" w:eastAsia="方正仿宋_GB2312" w:cs="方正仿宋_GB2312"/>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71042">
    <w:pPr>
      <w:pStyle w:val="3"/>
      <w:pBdr>
        <w:bottom w:val="thinThickSmallGap" w:color="auto" w:sz="12" w:space="1"/>
      </w:pBdr>
      <w:jc w:val="center"/>
      <w:rPr>
        <w:rFonts w:hint="eastAsia" w:ascii="方正仿宋_GB2312" w:hAnsi="方正仿宋_GB2312" w:eastAsia="方正仿宋_GB2312" w:cs="方正仿宋_GB2312"/>
        <w:sz w:val="24"/>
        <w:szCs w:val="24"/>
      </w:rPr>
    </w:pPr>
    <w:r>
      <w:t>全国大学生智能应用开发大赛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6E88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BF19E">
    <w:pPr>
      <w:pStyle w:val="3"/>
      <w:pBdr>
        <w:bottom w:val="none" w:color="auto" w:sz="0" w:space="1"/>
      </w:pBdr>
      <w:jc w:val="center"/>
      <w:rPr>
        <w:rFonts w:hint="eastAsia" w:ascii="方正仿宋_GB2312" w:hAnsi="方正仿宋_GB2312" w:eastAsia="方正仿宋_GB2312" w:cs="方正仿宋_GB2312"/>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0112">
    <w:pPr>
      <w:pStyle w:val="3"/>
      <w:pBdr>
        <w:bottom w:val="thinThickSmallGap" w:color="auto" w:sz="12" w:space="1"/>
      </w:pBdr>
      <w:jc w:val="center"/>
      <w:rPr>
        <w:rFonts w:hint="eastAsia" w:ascii="方正仿宋_GB2312" w:hAnsi="方正仿宋_GB2312" w:eastAsia="方正仿宋_GB2312" w:cs="方正仿宋_GB2312"/>
        <w:sz w:val="24"/>
        <w:szCs w:val="24"/>
      </w:rPr>
    </w:pPr>
    <w:bookmarkStart w:id="18" w:name="_GoBack"/>
    <w:r>
      <w:rPr>
        <w:rFonts w:hint="eastAsia" w:ascii="方正仿宋_GB2312" w:hAnsi="方正仿宋_GB2312" w:eastAsia="方正仿宋_GB2312" w:cs="方正仿宋_GB2312"/>
        <w:sz w:val="24"/>
        <w:szCs w:val="24"/>
      </w:rPr>
      <w:t>全国大学生智能应用开发大赛</w:t>
    </w:r>
  </w:p>
  <w:bookmarkEnd w:id="1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96A0B">
    <w:pPr>
      <w:pStyle w:val="3"/>
      <w:pBdr>
        <w:bottom w:val="thinThickSmallGap" w:color="auto" w:sz="12" w:space="1"/>
      </w:pBdr>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全国大学生智能应用开发大赛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F481B"/>
    <w:rsid w:val="75FE977C"/>
    <w:rsid w:val="7FEEAC08"/>
    <w:rsid w:val="7FEF374C"/>
    <w:rsid w:val="7FFBB425"/>
    <w:rsid w:val="9FBD89FA"/>
    <w:rsid w:val="AAEF7490"/>
    <w:rsid w:val="B6CD1869"/>
    <w:rsid w:val="DBC740E6"/>
    <w:rsid w:val="E5FE6CFB"/>
    <w:rsid w:val="EF8FF630"/>
    <w:rsid w:val="FBF72E45"/>
    <w:rsid w:val="FFB7444F"/>
    <w:rsid w:val="FFBEA197"/>
    <w:rsid w:val="FFDF481B"/>
    <w:rsid w:val="FFFDE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一级标题"/>
    <w:basedOn w:val="1"/>
    <w:link w:val="11"/>
    <w:uiPriority w:val="0"/>
    <w:pPr>
      <w:spacing w:line="240" w:lineRule="auto"/>
      <w:jc w:val="left"/>
      <w:outlineLvl w:val="0"/>
    </w:pPr>
    <w:rPr>
      <w:rFonts w:hint="eastAsia" w:ascii="黑体" w:hAnsi="黑体" w:eastAsia="Heiti SC Medium" w:cs="黑体"/>
      <w:sz w:val="32"/>
      <w:szCs w:val="32"/>
    </w:rPr>
  </w:style>
  <w:style w:type="paragraph" w:customStyle="1" w:styleId="9">
    <w:name w:val="标准-正文"/>
    <w:basedOn w:val="1"/>
    <w:uiPriority w:val="0"/>
    <w:pPr>
      <w:ind w:firstLine="600" w:firstLineChars="200"/>
    </w:pPr>
    <w:rPr>
      <w:rFonts w:hint="eastAsia" w:ascii="FZSJ-FANGSGBTTOT" w:hAnsi="FZSJ-FANGSGBTTOT" w:eastAsia="FZSJ-FANGSGBTTOT" w:cs="方正仿宋_GB2312"/>
      <w:sz w:val="32"/>
      <w:szCs w:val="30"/>
    </w:rPr>
  </w:style>
  <w:style w:type="paragraph" w:customStyle="1" w:styleId="10">
    <w:name w:val="标准-楷体"/>
    <w:basedOn w:val="1"/>
    <w:uiPriority w:val="0"/>
    <w:pPr>
      <w:ind w:firstLine="600" w:firstLineChars="200"/>
    </w:pPr>
    <w:rPr>
      <w:rFonts w:hint="eastAsia" w:ascii="FZSJ-KAITGBTTOT" w:hAnsi="FZSJ-KAITGBTTOT" w:eastAsia="FZSJ-KAITGBTTOT" w:cs="方正楷体_GB2312"/>
      <w:sz w:val="32"/>
      <w:szCs w:val="30"/>
    </w:rPr>
  </w:style>
  <w:style w:type="character" w:customStyle="1" w:styleId="11">
    <w:name w:val="一级标题 Char"/>
    <w:link w:val="8"/>
    <w:uiPriority w:val="0"/>
    <w:rPr>
      <w:rFonts w:hint="eastAsia" w:ascii="黑体" w:hAnsi="黑体" w:eastAsia="Heiti SC Medium" w:cs="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目录"/>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2026-04-30T15:44:00Z</dcterms:created>
  <dc:creator>John Tao</dc:creator>
  <cp:lastModifiedBy>John Tao</cp:lastModifiedBy>
  <dcterms:modified xsi:type="dcterms:W3CDTF">2026-05-29T00:47:19Z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E69366168CBCEE60E1D5F069799B07AA_41</vt:lpwstr>
  </property>
</Properties>
</file>