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pStyle w:val="Normal"/>
        <w:keepNext/>
        <w:keepLines w:val="0"/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44"/>
        </w:rPr>
        <w:t>面向智能体推理的生命周期感知KV缓存系统</w:t>
      </w:r>
      <w:r>
        <w:rPr>
          <w:rFonts w:ascii="Times New Roman" w:hAnsi="Times New Roman" w:eastAsia="黑体" w:cs="Times New Roman"/>
          <w:color w:val="000000"/>
          <w:sz w:val="44"/>
          <w:rStyle w:val="FootnoteReference"/>
        </w:rPr>
        <w:footnoteReference w:id="20"/>
      </w:r>
    </w:p>
    <w:p>
      <w:pPr>
        <w:pStyle w:val="BodyText"/>
        <w:keepNext/>
        <w:keepLines w:val="0"/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张某某¹，李某某²，王某某¹</w:t>
      </w:r>
    </w:p>
    <w:p>
      <w:pPr>
        <w:pStyle w:val="BodyText"/>
        <w:keepNext/>
        <w:keepLines w:val="0"/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（1. 某大学计算机科学与技术学院，北京 100000；2. 某研究院智能计算中心，上海 200000）</w:t>
      </w:r>
    </w:p>
    <w:p>
      <w:pPr>
        <w:pStyle w:val="BodyText"/>
        <w:keepNext w:val="0"/>
        <w:keepLines w:val="0"/>
        <w:widowControl/>
        <w:spacing w:before="0" w:after="0" w:lineRule="exact" w:line="400"/>
        <w:ind w:firstLine="0"/>
        <w:jc w:val="both"/>
      </w:pPr>
      <w:r>
        <w:rPr>
          <w:rFonts w:ascii="Times New Roman" w:hAnsi="Times New Roman" w:eastAsia="宋体" w:cs="Times New Roman"/>
          <w:b/>
          <w:color w:val="000000"/>
          <w:sz w:val="18"/>
        </w:rPr>
        <w:t>摘要</w:t>
      </w:r>
      <w:r>
        <w:rPr>
          <w:rFonts w:ascii="Times New Roman" w:hAnsi="Times New Roman" w:eastAsia="宋体" w:cs="Times New Roman"/>
          <w:color w:val="000000"/>
          <w:sz w:val="18"/>
        </w:rPr>
        <w:t xml:space="preserve"> 智能体推理把一次模型调用扩展为规划、工具执行、观察回填、验证与重试组成的长生命周期工作流，使KV缓存由请求内临时张量转变为跨轮次执行状态。针对最近最少使用、固定生存时间和单次注意力重要性难以表达任务依赖、重算代价与质量风险的问题，文章提出生命周期感知KV缓存系统AgentKV。该系统以事件图标注状态类型与版本，利用依赖路径、未来复用概率和重算代价估计状态价值，并在GPU HBM、主机DDR/CXL和NVMe之间联合选择驻留层级、压缩精度及恢复时机；同时利用工具调用间隙执行迁移、可逆压缩和预测预取。基于3 000批、每批32个状态块的事件级离散仿真，在HBM预算为工作集35%的配置下，AgentKV相较LRU将恢复附加时延P95由5.59 ms降至3.77 ms，跨层传输量由563.10 MB/批降至159.49 MB/批，分别降低32.51%和71.68%，并隐藏50.28%的恢复开销。研究表明，智能体缓存优化的关键不是追求单一命中率，而是联合管理状态生命周期、可逆性、尾延迟和正确性风险。</w:t>
      </w:r>
    </w:p>
    <w:p>
      <w:pPr>
        <w:pStyle w:val="BodyText"/>
        <w:keepNext w:val="0"/>
        <w:keepLines w:val="0"/>
        <w:widowControl/>
        <w:spacing w:before="0" w:after="0" w:lineRule="exact" w:line="400"/>
        <w:ind w:firstLine="0"/>
        <w:jc w:val="both"/>
      </w:pPr>
      <w:r>
        <w:rPr>
          <w:rFonts w:ascii="Times New Roman" w:hAnsi="Times New Roman" w:eastAsia="宋体" w:cs="Times New Roman"/>
          <w:b/>
          <w:color w:val="000000"/>
          <w:sz w:val="18"/>
        </w:rPr>
        <w:t>关键词</w:t>
      </w:r>
      <w:r>
        <w:rPr>
          <w:rFonts w:ascii="Times New Roman" w:hAnsi="Times New Roman" w:eastAsia="宋体" w:cs="Times New Roman"/>
          <w:color w:val="000000"/>
          <w:sz w:val="18"/>
        </w:rPr>
        <w:t xml:space="preserve"> 大语言模型；智能体推理；KV缓存；分层存储；生命周期预测；可逆压缩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大语言模型正在从一次性问答组件转变为能够规划任务、调用搜索或代码执行工具、读取环境反馈并反复修正策略的智能体。ReAct把推理与行动组织为交替序列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[2]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，Toolformer进一步展示了模型学习工具使用模式的可行性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[3]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这一变化不仅扩大了上下文长度，也改变了推理系统的时间结构：模型计算被毫秒级解码、秒级工具调用、失败重试和多分支验证打断，已生成的KV缓存可能在数秒后被再次访问，也可能因任务节点提交而永久失去价值。PagedAttention通过分页降低设备内碎片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[4]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，SGLang利用结构化程序和前缀复用减少重复预填充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[5]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但二者主要解决“缓存如何组织”，尚不能回答“一个智能体状态何时应被保留、压缩、迁移、验证或退休”。近期Tokencake、Continuum、MORI、PBKV和CommitKV分别从工具空闲期、TTL、相对空闲度、未来调用预测与提交转移切入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[11-16]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说明智能体缓存已经形成独立研究方向。文章在此基础上提出AgentKV：不读取模型隐式推理文本，而是依据工作流控制事件建立状态图，并把未来依赖、重算代价、精度风险和工具间隙统一纳入多级放置决策。文章的贡献包括：①给出面向智能体事件图的KV状态模型；②提出风险约束的可逆压缩与多级放置目标；③设计工具间隙迁移和预测预取机制；④以可复现离散仿真验证容量、尾延迟、传输量和预测误差之间的关系。</w:t>
      </w:r>
    </w:p>
    <w:p>
      <w:pPr>
        <w:pStyle w:val="Heading1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4"/>
        </w:rPr>
        <w:t>1 智能体KV状态与问题定义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1.1 从请求缓存到执行状态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标准自回归推理中，第l层对历史Token产生键和值，并在后续解码步中反复读取。设批量为B、层数为L、上下文长度为T、KV头数为Hₖᵥ、每头维度为dₕ、元素位宽为b，则未考虑分页和元数据时的缓存容量为：</w:t>
      </w:r>
    </w:p>
    <w:p>
      <w:pPr>
        <w:pStyle w:val="BodyText"/>
        <w:keepNext w:val="0"/>
        <w:keepLines w:val="0"/>
        <w:widowControl/>
        <w:tabs>
          <w:tab w:pos="4252" w:val="center"/>
          <w:tab w:pos="8674" w:val="right"/>
        </w:tabs>
        <w:spacing w:before="0" w:after="0" w:lineRule="exact" w:line="400"/>
        <w:ind w:firstLine="0"/>
        <w:jc w:val="left"/>
      </w:pPr>
      <w:r>
        <w:tab/>
      </w:r>
      <w:r>
        <w:rPr>
          <w:rFonts w:ascii="Cambria Math" w:hAnsi="Cambria Math" w:eastAsia="Cambria Math" w:cs="Cambria Math"/>
          <w:i/>
          <w:color w:val="000000"/>
          <w:sz w:val="21"/>
        </w:rPr>
        <w:t>M_KV = 2 B L T H_kv d_h b / 8</w:t>
      </w:r>
      <w:r>
        <w:tab/>
      </w:r>
      <w:r>
        <w:rPr>
          <w:rFonts w:ascii="Times New Roman" w:hAnsi="Times New Roman" w:eastAsia="宋体" w:cs="Times New Roman"/>
          <w:color w:val="000000"/>
          <w:sz w:val="21"/>
        </w:rPr>
        <w:t>（1）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式（1）说明KV容量与上下文长度和活动会话数近似线性增长。对于智能体，请求结束不再意味着状态失效，因为工具调用后的下一轮模型执行往往复用全部或大部分历史前缀。若系统立即释放缓存，需要重新预填充；若长期固定驻留，又会挤压其他活动会话。因此，“请求完成”与“状态生命周期结束”必须分离。</w:t>
      </w:r>
    </w:p>
    <w:p>
      <w:pPr>
        <w:pStyle w:val="BodyText"/>
        <w:keepNext/>
        <w:keepLines w:val="0"/>
        <w:widowControl/>
        <w:spacing w:before="0" w:after="0" w:line="240" w:lineRule="auto"/>
        <w:ind w:firstLine="0"/>
        <w:jc w:val="center"/>
      </w:pPr>
      <w:r>
        <w:drawing>
          <wp:inline>
            <wp:extent cx="5472000" cy="24635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63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图1 智能体工作流与KV状态生命周期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把智能体执行抽象为事件序列。模型规划产生候选动作，工具调用使会话进入冻结状态，观察返回后追加新的Token并恢复解码；验证或提交事件则改变旧状态的未来依赖。与聊天机器人主要由用户思考时间决定下一轮到达不同，智能体工具时长呈现明显重尾分布，且同一程序可能在“连续短调用”和“长时间阻塞”之间切换。MORI把这种差异概括为相对空闲度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[13]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，Continuum用TTL平衡复用和排队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[12]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，Tokencake则在空间隔离与工具间隙上传之间协同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[11]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。AgentKV进一步把状态粒度从会话下沉到事件页，使同一会话中的系统前缀、证据、失败分支和已验证结果可以采取不同策略。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1.2 状态类别与生命周期语义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文章把一段可独立管理的KV页表示为sᵢ=〈vᵢ，τᵢ，gᵢ，qᵢ，zᵢ〉。其中vᵢ是KV数据与位置映射，τᵢ是语义类型，gᵢ是所属事件图节点和版本，qᵢ是当前数值精度及可恢复副本，zᵢ记录驻留层级、最近访问和迁移状态。语义类型由系统提示边界、工具调用协议、消息角色和工作流编排器产生，不要求读取或分类模型隐藏的思维链，因此不会把缓存管理建立在不可审计的文本内容推断上。</w:t>
      </w:r>
    </w:p>
    <w:p>
      <w:r>
        <w:br w:type="page"/>
      </w:r>
    </w:p>
    <w:p>
      <w:pPr>
        <w:pStyle w:val="BodyText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表1 智能体KV状态类别及默认管理策略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space="0" w:color="000000"/>
          <w:bottom w:val="single" w:sz="8" w:space="0" w:color="000000"/>
        </w:tblBorders>
      </w:tblPr>
      <w:tblGrid>
        <w:gridCol w:w="2435"/>
        <w:gridCol w:w="2435"/>
        <w:gridCol w:w="2435"/>
        <w:gridCol w:w="2435"/>
      </w:tblGrid>
      <w:tr>
        <w:trPr>
          <w:tblHeader w:val="true"/>
          <w:cantSplit/>
        </w:trPr>
        <w:tc>
          <w:tcPr>
            <w:tcW w:type="dxa" w:w="1247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状态类别</w:t>
            </w:r>
          </w:p>
        </w:tc>
        <w:tc>
          <w:tcPr>
            <w:tcW w:type="dxa" w:w="1927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典型来源</w:t>
            </w:r>
          </w:p>
        </w:tc>
        <w:tc>
          <w:tcPr>
            <w:tcW w:type="dxa" w:w="2267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生命周期判据</w:t>
            </w:r>
          </w:p>
        </w:tc>
        <w:tc>
          <w:tcPr>
            <w:tcW w:type="dxa" w:w="3061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默认策略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固定前缀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系统提示、工具Schema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会话或租户级版本变化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跨轮次共享，高精度或稳定低比特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任务输入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用户目标、约束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任务结束或目标重写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活动阶段驻留，分支切换后降级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证据状态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检索文档、代码片段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依赖节点全部提交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高重算代价，优先保留可逆副本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工具观察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搜索、数据库、编译器返回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观察被替代或提交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短期高价值，利用工具间隙预取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已验证结果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测试通过、计算确认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下游节点完成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高正确性权重，避免不可逆删除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临时推理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候选计划、中间草稿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分支提交或超时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混合精度压缩，保留重算入口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失败分支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无效动作、错误路径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失败事件确认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低优先级退休，仅保留审计摘要</w:t>
            </w:r>
          </w:p>
        </w:tc>
      </w:tr>
    </w:tbl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状态类别并非静态标签。工具观察在进入系统时属于高价值新状态，若后续被新结果覆盖，则可转为冷状态；临时推理在通过外部测试后可提交为已验证结果；固定前缀发生版本升级时，旧版本可能继续服务在途任务但不得被新任务复用。由此形成图2中的状态机：活跃、冻结、压缩、恢复和提交/退休是系统动作，事件图则提供动作合法性。</w:t>
      </w:r>
    </w:p>
    <w:p>
      <w:pPr>
        <w:pStyle w:val="BodyText"/>
        <w:keepNext/>
        <w:keepLines w:val="0"/>
        <w:widowControl/>
        <w:spacing w:before="0" w:after="0" w:line="240" w:lineRule="auto"/>
        <w:ind w:firstLine="0"/>
        <w:jc w:val="center"/>
      </w:pPr>
      <w:r>
        <w:drawing>
          <wp:inline>
            <wp:extent cx="5472000" cy="24502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t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50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图2 AgentKV状态转换与控制条件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1.3 现有策略的适用边界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LRU只观察最近访问时间，无法区分即将返回的短工具调用和长期阻塞任务；LFU或ARC能够适应频率变化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[30]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但智能体状态通常只在少数关键节点被访问，低频并不等于低价值。TTL引入了下一轮时间窗口，却难以处理同一会话内部不同事件页的差异。注意力驱逐方法H2O、SnapKV和StreamingLLM分别利用重击Token、观察窗口和注意力汇聚特征降低设备内KV规模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[21-23]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，其目标主要是单次序列的解码质量，而不是跨轮次状态复用。IntentKV引入跨轮次意图记忆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[17]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，CommitKV依据提交前后的删除效应识别完成状态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[16]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，VeriCache通过完整KV验证实现输出等价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[18]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。这些工作分别提供了重要部件，但仍缺少把事件依赖、层级放置、压缩可逆性、工具时间窗口和SLO统一优化的接口。</w:t>
      </w:r>
    </w:p>
    <w:p>
      <w:pPr>
        <w:pStyle w:val="BodyText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表2 代表性KV管理方法与AgentKV的设计维度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space="0" w:color="000000"/>
          <w:bottom w:val="single" w:sz="8" w:space="0" w:color="000000"/>
        </w:tblBorders>
      </w:tblPr>
      <w:tblGrid>
        <w:gridCol w:w="1623"/>
        <w:gridCol w:w="1623"/>
        <w:gridCol w:w="1623"/>
        <w:gridCol w:w="1623"/>
        <w:gridCol w:w="1623"/>
        <w:gridCol w:w="1623"/>
      </w:tblGrid>
      <w:tr>
        <w:trPr>
          <w:tblHeader w:val="true"/>
          <w:cantSplit/>
        </w:trPr>
        <w:tc>
          <w:tcPr>
            <w:tcW w:type="dxa" w:w="1360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方法类别</w:t>
            </w:r>
          </w:p>
        </w:tc>
        <w:tc>
          <w:tcPr>
            <w:tcW w:type="dxa" w:w="2040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主要信号</w:t>
            </w:r>
          </w:p>
        </w:tc>
        <w:tc>
          <w:tcPr>
            <w:tcW w:type="dxa" w:w="1247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粒度</w:t>
            </w:r>
          </w:p>
        </w:tc>
        <w:tc>
          <w:tcPr>
            <w:tcW w:type="dxa" w:w="1247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可逆性</w:t>
            </w:r>
          </w:p>
        </w:tc>
        <w:tc>
          <w:tcPr>
            <w:tcW w:type="dxa" w:w="1247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工具间隙</w:t>
            </w:r>
          </w:p>
        </w:tc>
        <w:tc>
          <w:tcPr>
            <w:tcW w:type="dxa" w:w="1247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任务依赖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分页/前缀缓存</w:t>
            </w:r>
          </w:p>
        </w:tc>
        <w:tc>
          <w:tcPr>
            <w:tcW w:type="dxa" w:w="204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地址映射、前缀相同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块/请求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不涉及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否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弱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注意力驱逐</w:t>
            </w:r>
          </w:p>
        </w:tc>
        <w:tc>
          <w:tcPr>
            <w:tcW w:type="dxa" w:w="204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注意力得分、重击Token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Token/层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通常不可逆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否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无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TTL/空闲度</w:t>
            </w:r>
          </w:p>
        </w:tc>
        <w:tc>
          <w:tcPr>
            <w:tcW w:type="dxa" w:w="204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预计返回时间、程序活跃度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会话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可卸载恢复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是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弱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调用预测</w:t>
            </w:r>
          </w:p>
        </w:tc>
        <w:tc>
          <w:tcPr>
            <w:tcW w:type="dxa" w:w="204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未来代理或工具序列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工作流/条目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可恢复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部分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提交感知压缩</w:t>
            </w:r>
          </w:p>
        </w:tc>
        <w:tc>
          <w:tcPr>
            <w:tcW w:type="dxa" w:w="204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提交前后删除效应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事件页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通常删除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否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强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AgentKV</w:t>
            </w:r>
          </w:p>
        </w:tc>
        <w:tc>
          <w:tcPr>
            <w:tcW w:type="dxa" w:w="204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事件依赖、复用、重算、风险、空闲期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事件页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压缩副本+验证/重算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是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强</w:t>
            </w:r>
          </w:p>
        </w:tc>
      </w:tr>
    </w:tbl>
    <w:p>
      <w:pPr>
        <w:pStyle w:val="Heading1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4"/>
        </w:rPr>
        <w:t>2 AgentKV系统设计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2.1 总体架构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AgentKV位于智能体编排器与推理引擎之间，不改变模型参数和注意力算子语义。编排器向AgentKV发送任务开始、模型调用、工具发起、观察返回、分支创建、验证通过、回滚和任务结束等结构化事件；推理引擎提供KV页句柄、物理块映射、压缩算子和异步DMA队列。系统由事件图与语义标注、生命周期预测、SLO/风险控制、分层放置与可逆压缩、工具间隙迁移与预取五个模块组成，如图3所示。</w:t>
      </w:r>
    </w:p>
    <w:p>
      <w:pPr>
        <w:pStyle w:val="BodyText"/>
        <w:keepNext/>
        <w:keepLines w:val="0"/>
        <w:widowControl/>
        <w:spacing w:before="0" w:after="0" w:line="240" w:lineRule="auto"/>
        <w:ind w:firstLine="0"/>
        <w:jc w:val="center"/>
      </w:pPr>
      <w:r>
        <w:drawing>
          <wp:inline>
            <wp:extent cx="5472000" cy="3073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3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图3 AgentKV总体架构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事件图为有向无环图或带有限回边的状态图。节点表示模型调用、工具调用、观察或验证事件，边表示数据依赖和控制依赖。每个KV页维护producer集合和consumer候选集合；当所有可达consumer已完成，且该页在审计或回滚策略下不再需要时，系统才能将其标记为“可退休”。若工作流具有循环，系统以版本号展开有限窗口，并通过保守汇总节点避免无限图增长。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2.2 生命周期预测与状态价值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未来复用概率不是单一的时间预测。AgentKV构造特征向量φᵢ，包括状态类型、距上次事件的时间、所在任务深度、后继节点数、工具类别、历史工具时长分位数、分支置信度、前缀共享度、重算Token数和当前队列压力。预测器输出下一次访问时间分布Fᵢ(t)、复用概率pᵢʳᵉᵘˢᵉ和置信区间。为了避免复杂模型在调度关键路径造成额外开销，在线实现可采用校准后的梯度提升树或小型多层感知机；当置信度低于阈值时，控制器退化为保守策略。</w:t>
      </w:r>
    </w:p>
    <w:p>
      <w:pPr>
        <w:pStyle w:val="BodyText"/>
        <w:keepNext w:val="0"/>
        <w:keepLines w:val="0"/>
        <w:widowControl/>
        <w:tabs>
          <w:tab w:pos="4252" w:val="center"/>
          <w:tab w:pos="8674" w:val="right"/>
        </w:tabs>
        <w:spacing w:before="0" w:after="0" w:lineRule="exact" w:line="400"/>
        <w:ind w:firstLine="0"/>
        <w:jc w:val="left"/>
      </w:pPr>
      <w:r>
        <w:tab/>
      </w:r>
      <w:r>
        <w:rPr>
          <w:rFonts w:ascii="Cambria Math" w:hAnsi="Cambria Math" w:eastAsia="Cambria Math" w:cs="Cambria Math"/>
          <w:i/>
          <w:color w:val="000000"/>
          <w:sz w:val="21"/>
        </w:rPr>
        <w:t>p_i^reuse = σ(w^T φ_i),    t_i^next ~ F_i(t | φ_i)</w:t>
      </w:r>
      <w:r>
        <w:tab/>
      </w:r>
      <w:r>
        <w:rPr>
          <w:rFonts w:ascii="Times New Roman" w:hAnsi="Times New Roman" w:eastAsia="宋体" w:cs="Times New Roman"/>
          <w:color w:val="000000"/>
          <w:sz w:val="21"/>
        </w:rPr>
        <w:t>（2）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状态价值需要同时反映“保留后可能节省什么”和“占用快速存储会牺牲什么”。文章定义：</w:t>
      </w:r>
    </w:p>
    <w:p>
      <w:pPr>
        <w:pStyle w:val="BodyText"/>
        <w:keepNext w:val="0"/>
        <w:keepLines w:val="0"/>
        <w:widowControl/>
        <w:tabs>
          <w:tab w:pos="4252" w:val="center"/>
          <w:tab w:pos="8674" w:val="right"/>
        </w:tabs>
        <w:spacing w:before="0" w:after="0" w:lineRule="exact" w:line="400"/>
        <w:ind w:firstLine="0"/>
        <w:jc w:val="left"/>
      </w:pPr>
      <w:r>
        <w:tab/>
      </w:r>
      <w:r>
        <w:rPr>
          <w:rFonts w:ascii="Cambria Math" w:hAnsi="Cambria Math" w:eastAsia="Cambria Math" w:cs="Cambria Math"/>
          <w:i/>
          <w:color w:val="000000"/>
          <w:sz w:val="21"/>
        </w:rPr>
        <w:t>V_i(t) = α p_i^reuse C_i^recomp + β D_i + γ Q_i - δ C_i^move - η C_i^occupy</w:t>
      </w:r>
      <w:r>
        <w:tab/>
      </w:r>
      <w:r>
        <w:rPr>
          <w:rFonts w:ascii="Times New Roman" w:hAnsi="Times New Roman" w:eastAsia="宋体" w:cs="Times New Roman"/>
          <w:color w:val="000000"/>
          <w:sz w:val="21"/>
        </w:rPr>
        <w:t>（3）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式中，Cᵢʳᵉᶜᵒᵐᵖ为重新预填充或重新执行工具的代价；Dᵢ是事件图依赖强度，可由尚未完成的可达节点数和关键路径权重计算；Qᵢ表示状态对结构化输出、代码正确性或安全约束的影响；Cᵢᵐᵒᵛᵉ包括DMA、压缩与同步成本；Cᵢᵒᶜᶜᵘᵖʸ是占用HBM导致的排队机会成本。系数由SLO和任务类型配置，代码修复任务通常提高Qᵢ和Cᵢʳᵉᶜᵒᵐᵖ权重，开放式检索任务则允许更积极压缩临时证据。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2.3 多级放置与可逆压缩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AgentKV把每个状态页放置到GPU HBM、主机DDR/CXL内存池或NVMe，并允许选择高精度、INT8、INT4、低秩表示以及“仅保留重算入口”等形态。KIVI和KVQuant表明KV量化能够显著降低容量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[19-20]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，CacheGen进一步把KV压缩与网络流式传输结合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[24]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；但智能体场景的关键问题是长输出中误差可能累积并破坏代码、JSON或工具参数。为此，AgentKV区分工作副本和参考副本：低风险页可仅保留压缩副本，高风险页在低层存储保留完整副本；恢复后可按检查点触发验证，或在异常时回退重算。</w:t>
      </w:r>
    </w:p>
    <w:p>
      <w:pPr>
        <w:pStyle w:val="BodyText"/>
        <w:keepNext w:val="0"/>
        <w:keepLines w:val="0"/>
        <w:widowControl/>
        <w:tabs>
          <w:tab w:pos="4252" w:val="center"/>
          <w:tab w:pos="8674" w:val="right"/>
        </w:tabs>
        <w:spacing w:before="0" w:after="0" w:lineRule="exact" w:line="400"/>
        <w:ind w:firstLine="0"/>
        <w:jc w:val="left"/>
      </w:pPr>
      <w:r>
        <w:tab/>
      </w:r>
      <w:r>
        <w:rPr>
          <w:rFonts w:ascii="Cambria Math" w:hAnsi="Cambria Math" w:eastAsia="Cambria Math" w:cs="Cambria Math"/>
          <w:i/>
          <w:color w:val="000000"/>
          <w:sz w:val="21"/>
        </w:rPr>
        <w:t>min Σ_i [ p_i L_i(k_i,q_i) + E_i(k_i,q_i) + λ R_i(q_i) ]</w:t>
      </w:r>
      <w:r>
        <w:tab/>
      </w:r>
      <w:r>
        <w:rPr>
          <w:rFonts w:ascii="Times New Roman" w:hAnsi="Times New Roman" w:eastAsia="宋体" w:cs="Times New Roman"/>
          <w:color w:val="000000"/>
          <w:sz w:val="21"/>
        </w:rPr>
        <w:t>（4）</w:t>
      </w:r>
    </w:p>
    <w:p>
      <w:pPr>
        <w:pStyle w:val="BodyText"/>
        <w:keepNext w:val="0"/>
        <w:keepLines w:val="0"/>
        <w:widowControl/>
        <w:tabs>
          <w:tab w:pos="4252" w:val="center"/>
          <w:tab w:pos="8674" w:val="right"/>
        </w:tabs>
        <w:spacing w:before="0" w:after="0" w:lineRule="exact" w:line="400"/>
        <w:ind w:firstLine="0"/>
        <w:jc w:val="left"/>
      </w:pPr>
      <w:r>
        <w:tab/>
      </w:r>
      <w:r>
        <w:rPr>
          <w:rFonts w:ascii="Cambria Math" w:hAnsi="Cambria Math" w:eastAsia="Cambria Math" w:cs="Cambria Math"/>
          <w:i/>
          <w:color w:val="000000"/>
          <w:sz w:val="21"/>
        </w:rPr>
        <w:t>s.t.  Σ_i x_ik m_i(q_i) ≤ C_k,   P(TTFT&gt;D_1)≤ε_1,   P(TPOT&gt;D_2)≤ε_2</w:t>
      </w:r>
      <w:r>
        <w:tab/>
      </w:r>
      <w:r>
        <w:rPr>
          <w:rFonts w:ascii="Times New Roman" w:hAnsi="Times New Roman" w:eastAsia="宋体" w:cs="Times New Roman"/>
          <w:color w:val="000000"/>
          <w:sz w:val="21"/>
        </w:rPr>
        <w:t>（5）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其中kᵢ和qᵢ分别为层级与精度，Lᵢ是预计恢复时延，Eᵢ是传输和压缩能耗，Rᵢ是质量风险上界，Cₖ为各存储层容量。该问题包含离散选择和容量约束，精确求解不适合在线调度。AgentKV采用两阶段近似：先依据价值密度Vᵢ/mᵢ确定HBM候选，再在被迁出页中以拉格朗日代价选择压缩级别和目标层；每轮只重算受事件影响的局部候选，复杂度近似为O(n log n)。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2.4 工具间隙迁移与预测预取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工具调用为状态管理提供了天然重叠窗口。系统在工具发起事件到达后，不立即迁出整个会话，而是依据预计空闲时间和未来依赖排序候选页。设状态页迁出、压缩、回迁与解压总耗时为Tᵢᵐᵒᵛᵉ，工具间隙为Tᵢᵍᵃᵖ，则可隐藏比例为：</w:t>
      </w:r>
    </w:p>
    <w:p>
      <w:pPr>
        <w:pStyle w:val="BodyText"/>
        <w:keepNext w:val="0"/>
        <w:keepLines w:val="0"/>
        <w:widowControl/>
        <w:tabs>
          <w:tab w:pos="4252" w:val="center"/>
          <w:tab w:pos="8674" w:val="right"/>
        </w:tabs>
        <w:spacing w:before="0" w:after="0" w:lineRule="exact" w:line="400"/>
        <w:ind w:firstLine="0"/>
        <w:jc w:val="left"/>
      </w:pPr>
      <w:r>
        <w:tab/>
      </w:r>
      <w:r>
        <w:rPr>
          <w:rFonts w:ascii="Cambria Math" w:hAnsi="Cambria Math" w:eastAsia="Cambria Math" w:cs="Cambria Math"/>
          <w:i/>
          <w:color w:val="000000"/>
          <w:sz w:val="21"/>
        </w:rPr>
        <w:t>H_i = min(1, T_i^gap / T_i^move)</w:t>
      </w:r>
      <w:r>
        <w:tab/>
      </w:r>
      <w:r>
        <w:rPr>
          <w:rFonts w:ascii="Times New Roman" w:hAnsi="Times New Roman" w:eastAsia="宋体" w:cs="Times New Roman"/>
          <w:color w:val="000000"/>
          <w:sz w:val="21"/>
        </w:rPr>
        <w:t>（6）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当Tᵢᵍᵃᵖ较短时，只迁出低价值且传输小的页；当工具执行进入长尾阶段，系统逐步移动更多页而不是进行一次不可逆决定。预测预取从预计返回时刻向前回推Tᵢᵐᵒᵛᵉ，并预留带宽信用；若工具提前返回，未完成的预取可以取消，推理引擎优先使用仍在HBM的最小可执行前缀。MORI以相对空闲度划分GPU和CPU队列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[13]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，PBKV预测未来代理调用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[14]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，AgentKV则把预测对象细化为事件页，同时由风险控制器限制“预测错误导致高价值页过早降级”。</w:t>
      </w:r>
    </w:p>
    <w:p>
      <w:pPr>
        <w:pStyle w:val="BodyText"/>
        <w:keepNext/>
        <w:keepLines w:val="0"/>
        <w:widowControl/>
        <w:spacing w:before="0" w:after="0" w:line="240" w:lineRule="auto"/>
        <w:ind w:firstLine="0"/>
        <w:jc w:val="center"/>
      </w:pPr>
      <w:r>
        <w:drawing>
          <wp:inline>
            <wp:extent cx="5472000" cy="29563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id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56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图4 工具空闲时长与可隐藏迁移比例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2.5 一致性、版本与安全边界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跨轮次复用必须防止错误前缀污染。每个状态页的身份由模型版本、适配器版本、Tokenizer版本、RoPE配置、租户、会话、逻辑位置和事件版本共同确定；只有身份完全兼容时才能零拷贝复用。工具Schema和系统提示发生更新时，旧页进入只读代际，服务完在途任务后回收。对于多租户部署，CXL或远端缓存的页需要加密、访问控制和擦除确认，缓存目录不得泄露其他租户的提示长度、工具名称或访问时间。TokenDance展示了多智能体共享块和差分存储的潜力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[15]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，但共享越强，一致性和侧信道风险越需要显式纳入系统设计。</w:t>
      </w:r>
    </w:p>
    <w:p>
      <w:pPr>
        <w:pStyle w:val="Heading1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4"/>
        </w:rPr>
        <w:t>3 事件级仿真方法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3.1 仿真目的与边界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为了在没有特定厂商GPU、CXL交换机和完整生产Trace的条件下验证算法趋势，文章构建事件级离散仿真。该仿真不是硬件实测，也不用于宣称某一具体模型在真实集群上的绝对吞吐；它回答三个可验证问题：①在相同状态工作集和HBM预算下，事件依赖是否能改善放置；②压缩和工具间隙重叠能否减少可见恢复时延及传输量；③预测误差增加时，策略是否出现非连续失稳。随机种子、状态分布、传输带宽和公式均固定，便于复现。</w:t>
      </w:r>
    </w:p>
    <w:p>
      <w:r>
        <w:br w:type="page"/>
      </w:r>
    </w:p>
    <w:p>
      <w:pPr>
        <w:pStyle w:val="BodyText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表3 事件级仿真的关键参数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space="0" w:color="000000"/>
          <w:bottom w:val="single" w:sz="8" w:space="0" w:color="000000"/>
        </w:tblBorders>
      </w:tblPr>
      <w:tblGrid>
        <w:gridCol w:w="3247"/>
        <w:gridCol w:w="3247"/>
        <w:gridCol w:w="3247"/>
      </w:tblGrid>
      <w:tr>
        <w:trPr>
          <w:tblHeader w:val="true"/>
          <w:cantSplit/>
        </w:trPr>
        <w:tc>
          <w:tcPr>
            <w:tcW w:type="dxa" w:w="1927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参数</w:t>
            </w:r>
          </w:p>
        </w:tc>
        <w:tc>
          <w:tcPr>
            <w:tcW w:type="dxa" w:w="1927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设置</w:t>
            </w:r>
          </w:p>
        </w:tc>
        <w:tc>
          <w:tcPr>
            <w:tcW w:type="dxa" w:w="4195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仿真批次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3 000批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每批独立生成一个并发状态工作集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每批状态块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32个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从7类事件状态按给定概率抽样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状态大小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8~220 MB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对数正态分布并截断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工具空闲时间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重尾对数正态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证据和工具观察具有更长均值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主机恢复带宽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24 GB/s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含1.2 ms固定开销和排队扰动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AgentKV压缩比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3.2∶1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含压缩、解压和回迁开销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HBM预算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工作集20%~70%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主结果采用35%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预测噪声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对数误差0.05~0.90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主结果标准差为0.35</w:t>
            </w:r>
          </w:p>
        </w:tc>
      </w:tr>
    </w:tbl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状态类型比例为：系统前缀7%、工具定义10%、证据状态18%、工具观察20%、已验证结果12%、临时推理23%、失败分支10%。每类状态具有不同复用概率、重算系数和正确性权重。例如，固定前缀复用概率设为0.99，失败分支为0.12；已验证结果的重算和质量权重最高。该设置用于制造“时间局部性与语义价值不完全一致”的压力场景，而不是拟合某一家产品。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3.2 对比策略与评价指标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仿真比较四类策略。LRU按最近访问时间保留页面；TTL依据预计空闲时间和页面大小排序；语义优先策略依据状态类型、近似注意力重要性与正确性权重排序；AgentKV使用式（3）的价值模型、3.2倍压缩副本及工具间隙预取。前三种策略的迁出页以完整精度从主机恢复，AgentKV则在低层存储维护压缩副本，并将一部分恢复过程隐藏在工具调用期间。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指标包括字节命中率、恢复附加时延P50/P95/P99、每批跨层传输量、迁移隐藏比例和风险代理。风险代理由预测相对误差、状态正确性权重和降级幅度构成，仅表示“需要高精度回退或验证的概率压力”，不是模型任务准确率，也不能替代真实代码、检索或工具调用评测。</w:t>
      </w:r>
    </w:p>
    <w:p>
      <w:pPr>
        <w:pStyle w:val="Heading1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4"/>
        </w:rPr>
        <w:t>4 结果与分析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4.1 HBM容量敏感性</w:t>
      </w:r>
    </w:p>
    <w:p>
      <w:pPr>
        <w:pStyle w:val="BodyText"/>
        <w:keepNext/>
        <w:keepLines w:val="0"/>
        <w:widowControl/>
        <w:spacing w:before="0" w:after="0" w:line="240" w:lineRule="auto"/>
        <w:ind w:firstLine="0"/>
        <w:jc w:val="center"/>
      </w:pPr>
      <w:r>
        <w:drawing>
          <wp:inline>
            <wp:extent cx="5472000" cy="29870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h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87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图5 不同HBM预算下的字节命中率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随着HBM预算由工作集20%增加到70%，四种策略的字节命中率均提高。语义优先策略在多数容量点取得略高命中率，因为它倾向于保留高复用类别；AgentKV在20%~40%预算时的命中率略低于语义优先，但可见恢复时延明显更低。这一结果说明命中率不是充分目标：若未命中的页面能够被压缩，并在工具等待期间提前恢复，其用户可见代价可能低于“命中了更多字节但没有预取”的策略。</w:t>
      </w:r>
    </w:p>
    <w:p>
      <w:pPr>
        <w:pStyle w:val="BodyText"/>
        <w:keepNext/>
        <w:keepLines w:val="0"/>
        <w:widowControl/>
        <w:spacing w:before="0" w:after="0" w:line="240" w:lineRule="auto"/>
        <w:ind w:firstLine="0"/>
        <w:jc w:val="center"/>
      </w:pPr>
      <w:r>
        <w:drawing>
          <wp:inline>
            <wp:extent cx="5472000" cy="29929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9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92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图6 不同HBM预算下的恢复附加时延P95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图6显示，AgentKV在所有容量点保持更低的P95恢复附加时延。HBM预算为20%时，AgentKV为4.07 ms，LRU为5.80 ms；预算为70%时，两者分别为3.01 ms和4.75 ms。随着容量增加，LRU依靠更多命中取得改善，而AgentKV仍受益于工具间隙和压缩传输。P95下降速度没有与命中率同步，是因为剩余未命中的大块或高关键状态决定尾部时延。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4.2 主配置对比</w:t>
      </w:r>
    </w:p>
    <w:p>
      <w:pPr>
        <w:pStyle w:val="BodyText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表4 HBM预算35%时的仿真结果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space="0" w:color="000000"/>
          <w:bottom w:val="single" w:sz="8" w:space="0" w:color="000000"/>
        </w:tblBorders>
      </w:tblPr>
      <w:tblGrid>
        <w:gridCol w:w="1391"/>
        <w:gridCol w:w="1391"/>
        <w:gridCol w:w="1391"/>
        <w:gridCol w:w="1391"/>
        <w:gridCol w:w="1391"/>
        <w:gridCol w:w="1391"/>
        <w:gridCol w:w="1391"/>
      </w:tblGrid>
      <w:tr>
        <w:trPr>
          <w:tblHeader w:val="true"/>
          <w:cantSplit/>
        </w:trPr>
        <w:tc>
          <w:tcPr>
            <w:tcW w:type="dxa" w:w="1360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策略</w:t>
            </w:r>
          </w:p>
        </w:tc>
        <w:tc>
          <w:tcPr>
            <w:tcW w:type="dxa" w:w="1020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P50/ms</w:t>
            </w:r>
          </w:p>
        </w:tc>
        <w:tc>
          <w:tcPr>
            <w:tcW w:type="dxa" w:w="1020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P95/ms</w:t>
            </w:r>
          </w:p>
        </w:tc>
        <w:tc>
          <w:tcPr>
            <w:tcW w:type="dxa" w:w="1020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P99/ms</w:t>
            </w:r>
          </w:p>
        </w:tc>
        <w:tc>
          <w:tcPr>
            <w:tcW w:type="dxa" w:w="1417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字节命中率/%</w:t>
            </w:r>
          </w:p>
        </w:tc>
        <w:tc>
          <w:tcPr>
            <w:tcW w:type="dxa" w:w="1757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传输量/(MB/批)</w:t>
            </w:r>
          </w:p>
        </w:tc>
        <w:tc>
          <w:tcPr>
            <w:tcW w:type="dxa" w:w="1247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隐藏比例/%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LRU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2.66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5.59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7.45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34.70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563.10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0.00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TTL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2.61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5.75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7.78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33.71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571.69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0.00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语义优先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0.00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5.83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7.84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42.99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491.68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0.00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AgentKV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0.00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3.77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4.68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40.82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159.49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50.28</w:t>
            </w:r>
          </w:p>
        </w:tc>
      </w:tr>
    </w:tbl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在主配置下，AgentKV将P95由LRU的5.59 ms降至3.77 ms，下降32.51%；P99下降37.16%。传输量从563.10 MB/批降至159.49 MB/批，下降71.68%。AgentKV的字节命中率为40.82%，低于语义优先的42.99%，但后者P95为5.83 ms。这再次验证：多级缓存应优化“恢复代价×可见比例”，而不只是物理命中。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AgentKV的P50为0，表示超过一半的复用状态仍驻留HBM，或其恢复被工具间隙完全隐藏。隐藏比例50.28%是对所有迁出且后续复用页面的平均值。它并不意味着所有工具调用都能隐藏一半传输；短工具调用、预测过晚或带宽竞争仍会形成尾部。真实系统还需把PCIe/CXL链路与模型解码、网络收发的竞争纳入调度。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4.3 预测误差与风险控制</w:t>
      </w:r>
    </w:p>
    <w:p>
      <w:pPr>
        <w:pStyle w:val="BodyText"/>
        <w:keepNext/>
        <w:keepLines w:val="0"/>
        <w:widowControl/>
        <w:spacing w:before="0" w:after="0" w:line="240" w:lineRule="auto"/>
        <w:ind w:firstLine="0"/>
        <w:jc w:val="center"/>
      </w:pPr>
      <w:r>
        <w:drawing>
          <wp:inline>
            <wp:extent cx="5472000" cy="29922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se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92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图7 预测误差对AgentKV尾延迟的影响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预测对数误差标准差由0.05增至0.90时，AgentKV的P95保持在3.70~3.79 ms，未出现陡升。这种稳定性来自两点：第一，价值排序同时依赖任务图、重算代价和页面大小，工具时长只是一个信号；第二，低置信度页不会直接不可逆删除，而是保留压缩副本或重算入口。风险代理从1.05%上升到12.16%，表明预测越不可靠，系统越频繁触发保守放置、完整副本或验证。该代理的作用是把潜在质量成本暴露给调度器，而不是用“时延稳定”掩盖模型正确性风险。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4.4 消融分析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基于主配置进行机制级消融，并以完整AgentKV为归一化参照。去掉工具间隙预取时，传输字节不变但P95恢复附加时延接近压缩恢复的完整成本；去掉可逆压缩时，传输量回升到主机完整KV水平；去掉事件依赖后，系统容易保留近期但已提交的状态；去掉风险控制则可能获得更低平均时延，却无法给代码和工具参数提供错误边界。表5给出根据同一成本模型得到的方向性结果，数值只用于说明组件贡献。</w:t>
      </w:r>
    </w:p>
    <w:p>
      <w:pPr>
        <w:pStyle w:val="BodyText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表5 AgentKV机制消融的归一化结果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space="0" w:color="000000"/>
          <w:bottom w:val="single" w:sz="8" w:space="0" w:color="000000"/>
        </w:tblBorders>
      </w:tblPr>
      <w:tblGrid>
        <w:gridCol w:w="1948"/>
        <w:gridCol w:w="1948"/>
        <w:gridCol w:w="1948"/>
        <w:gridCol w:w="1948"/>
        <w:gridCol w:w="1948"/>
      </w:tblGrid>
      <w:tr>
        <w:trPr>
          <w:tblHeader w:val="true"/>
          <w:cantSplit/>
        </w:trPr>
        <w:tc>
          <w:tcPr>
            <w:tcW w:type="dxa" w:w="1757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配置</w:t>
            </w:r>
          </w:p>
        </w:tc>
        <w:tc>
          <w:tcPr>
            <w:tcW w:type="dxa" w:w="1133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P95时延</w:t>
            </w:r>
          </w:p>
        </w:tc>
        <w:tc>
          <w:tcPr>
            <w:tcW w:type="dxa" w:w="1133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传输量</w:t>
            </w:r>
          </w:p>
        </w:tc>
        <w:tc>
          <w:tcPr>
            <w:tcW w:type="dxa" w:w="1700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高价值误淘汰代理</w:t>
            </w:r>
          </w:p>
        </w:tc>
        <w:tc>
          <w:tcPr>
            <w:tcW w:type="dxa" w:w="3231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完整AgentKV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1.00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1.00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1.00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事件图、压缩、预取和风险控制全部开启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无工具间隙预取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1.41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1.00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1.00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无法隐藏恢复，尾延迟增加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无可逆压缩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1.27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3.20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0.92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完整KV传输，质量更保守但带宽压力大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无事件依赖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1.18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1.09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1.64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按复用与时间排序，提交语义丢失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无风险控制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0.94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0.91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2.73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更激进降级，不适合正确性敏感任务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固定精度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1.12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1.36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1.08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不能按状态关键性选择表示</w:t>
            </w:r>
          </w:p>
        </w:tc>
      </w:tr>
    </w:tbl>
    <w:p>
      <w:pPr>
        <w:pStyle w:val="Heading1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4"/>
        </w:rPr>
        <w:t>5 原型实现路径与工程讨论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5.1 与推理引擎的接口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AgentKV不要求重写完整推理引擎。最小实现可以建立在PagedAttention物理块之上：编排器为每条消息和工具事件附加事件ID；引擎在KV页表中记录事件ID、逻辑位置和压缩描述符；后台线程执行异步迁移；恢复时重新建立逻辑页到物理页的映射。对于SGLang式前缀树，事件图节点可引用Radix树区间，避免重复记录共享前缀。LMCache和Mooncake已经展示了外部KV层与分离式存储路径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[8,10]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，AgentKV的增量主要是事件语义、风险描述符和调度目标。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在线关键路径需要保持轻量。状态价值不必逐Token更新，可在工具发起、观察返回、分支提交和内存压力变化时重算；页面压缩可使用GPU空闲流或主机向量指令；CXL内存池适合保存跨GPU可访问的温状态，但应防止多个解码节点同时回迁造成带宽惊群。系统可对每个会话发放HBM、主机内存和链路信用，超出信用的工作流进入延迟队列或降低压缩精度。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5.2 正确性与可观测性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智能体常输出代码、SQL、函数参数和结构化JSON，细小数值误差可能在长解码中演化为控制流错误。VeriCache指出有损KV输出偏离会随生成长度累积，并用完整缓存验证草稿Token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[18]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AgentKV可把该思想用在“高风险事件页”：压缩KV用于快速草拟，低层完整副本在检查点验证；若没有完整副本，则由重算入口恢复对应前缀。监控层应记录压缩级别、恢复来源、验证拒绝率、重算Token数、任务成功率和结构化输出错误，而不能只上报显存节省。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为避免系统读取隐式思维链，语义标签只来自可观测协议边界：消息角色、工具名称哈希、工具调用ID、返回状态码、测试通过/失败和任务图边。对证据重要性的估计可使用依赖计数与引用关系，而不是保存或分类敏感原文。对于需要长期审计的任务，退休状态可留下不可逆摘要和内容哈希，但KV张量本身按数据保留策略删除。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5.3 适用范围与局限性</w:t>
      </w:r>
    </w:p>
    <w:p>
      <w:pPr>
        <w:pStyle w:val="BodyText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表6 AgentKV的适用场景与限制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space="0" w:color="000000"/>
          <w:bottom w:val="single" w:sz="8" w:space="0" w:color="000000"/>
        </w:tblBorders>
      </w:tblPr>
      <w:tblGrid>
        <w:gridCol w:w="2435"/>
        <w:gridCol w:w="2435"/>
        <w:gridCol w:w="2435"/>
        <w:gridCol w:w="2435"/>
      </w:tblGrid>
      <w:tr>
        <w:trPr>
          <w:tblHeader w:val="true"/>
          <w:cantSplit/>
        </w:trPr>
        <w:tc>
          <w:tcPr>
            <w:tcW w:type="dxa" w:w="1133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方面</w:t>
            </w:r>
          </w:p>
        </w:tc>
        <w:tc>
          <w:tcPr>
            <w:tcW w:type="dxa" w:w="2267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适用条件</w:t>
            </w:r>
          </w:p>
        </w:tc>
        <w:tc>
          <w:tcPr>
            <w:tcW w:type="dxa" w:w="2437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主要限制</w:t>
            </w:r>
          </w:p>
        </w:tc>
        <w:tc>
          <w:tcPr>
            <w:tcW w:type="dxa" w:w="3118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改进方向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工作流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存在明确工具/事件边界</w:t>
            </w:r>
          </w:p>
        </w:tc>
        <w:tc>
          <w:tcPr>
            <w:tcW w:type="dxa" w:w="24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自由对话缺少任务图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从请求日志学习弱依赖图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存储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具有主机内存、CXL或NVMe层</w:t>
            </w:r>
          </w:p>
        </w:tc>
        <w:tc>
          <w:tcPr>
            <w:tcW w:type="dxa" w:w="24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链路竞争可能抵消收益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带宽信用与拥塞反馈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压缩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模型支持KV量化或低秩表示</w:t>
            </w:r>
          </w:p>
        </w:tc>
        <w:tc>
          <w:tcPr>
            <w:tcW w:type="dxa" w:w="24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长输出正确性难以静态保证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完整副本验证与在线回退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预测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工具时长和调用结构有局部稳定性</w:t>
            </w:r>
          </w:p>
        </w:tc>
        <w:tc>
          <w:tcPr>
            <w:tcW w:type="dxa" w:w="24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突发故障与新工具分布漂移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置信度校准和保守降级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共享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模型、位置编码和前缀身份一致</w:t>
            </w:r>
          </w:p>
        </w:tc>
        <w:tc>
          <w:tcPr>
            <w:tcW w:type="dxa" w:w="24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跨租户泄露与版本污染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加密、隔离、代际目录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评价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可获得任务成功和尾延迟指标</w:t>
            </w:r>
          </w:p>
        </w:tc>
        <w:tc>
          <w:tcPr>
            <w:tcW w:type="dxa" w:w="24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仿真不能替代真实集群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公开Trace、原型和端到端基准</w:t>
            </w:r>
          </w:p>
        </w:tc>
      </w:tr>
    </w:tbl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文章的定量结果来自合成事件分布和解析传输模型，不代表某一GPU、模型或智能体框架的实测性能。真实部署还会受到KV布局、PCIe/CXL拓扑、NUMA、模型并行、前缀树碎片、工具并发和内核实现影响。后续研究应公开真实工具时长和事件依赖Trace，在vLLM或SGLang中实现原型，并在SWE-bench、OSWorld等任务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[33-34]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上同时测量作业完成时间、任务成功率和输出等价性。</w:t>
      </w:r>
    </w:p>
    <w:p>
      <w:pPr>
        <w:pStyle w:val="Heading1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4"/>
        </w:rPr>
        <w:t>6 结  论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智能体推理使KV缓存从请求级临时张量演化为跨轮次、跨工具和跨分支的执行状态。文章提出AgentKV，以事件图描述状态依赖和版本，以未来复用、重算代价、正确性权重、迁移成本及机会成本计算状态价值，并在GPU HBM、主机DDR/CXL和NVMe之间联合选择放置与精度。系统通过可逆压缩降低传输，通过工具间隙迁移和预测预取隐藏恢复，同时以风险代理触发完整副本、验证或重算回退。事件级仿真表明，在HBM预算为工作集35%的配置下，该方法相较LRU降低32.51%的P95恢复附加时延和71.68%的跨层传输量。更重要的结论是，智能体缓存系统不应把命中率作为唯一目标，而应在尾延迟、状态生命周期、可逆性和任务正确性之间建立可审计的联合优化。未来工作将围绕真实Agent Trace、跨节点CXL/网络拥塞、模型级KV验证和多租户安全隔离开展原型验证。</w:t>
      </w:r>
    </w:p>
    <w:p>
      <w:pPr>
        <w:pStyle w:val="Heading1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4"/>
        </w:rPr>
        <w:t>参考文献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[1] VASWANI A, SHAZEER N, PARMAR N, et al. Attention is all you need[C]//Advances in Neural Information Processing Systems. Long Beach: Curran Associates, 2017, 30: 5998-6008.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[2] YAO S, ZHAO J, YU D, et al. ReAct: synergizing reasoning and acting in language models[C]//International Conference on Learning Representations. Kigali: OpenReview, 2023.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[3] SCHICK T, DWIVEDI-YU J, DESSI R, et al. Toolformer: language models can teach themselves to use tools[C]//Advances in Neural Information Processing Systems. New Orleans: Curran Associates, 2023, 36: 68539-68551.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[4] KWON W, LI Z, ZHUANG S, et al. Efficient memory management for large language model serving with PagedAttention[C]//Proceedings of the 29th Symposium on Operating Systems Principles. New York: ACM, 2023: 611-626.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[5] ZHENG L, YIN L, XIE Z, et al. SGLang: efficient execution of structured language model programs[C]//Advances in Neural Information Processing Systems. Vancouver: Curran Associates, 2024, 37.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[6] AGRAWAL A, KARSAVURAN M O, KOLLAR T, et al. Taming throughputs-latency tradeoff in LLM inference with Sarathi-Serve[C]//18th USENIX Symposium on Operating Systems Design and Implementation. Santa Clara: USENIX Association, 2024: 117-134.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[7] ZHONG Y, LIU S, CHEN J, et al. DistServe: disaggregating prefill and decoding for goodput-optimized large language model serving[C]//18th USENIX Symposium on Operating Systems Design and Implementation. Santa Clara: USENIX Association, 2024: 193-210.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[8] QIN R, LI Z, HE W, et al. Mooncake: a KVCache-centric disaggregated architecture for LLM serving[C]//23rd USENIX Conference on File and Storage Technologies. Santa Clara: USENIX Association, 2025.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[9] PAN X, QIU M, TANG W, et al. KVFlow: efficient prefix caching for accelerating LLM-based multi-agent workflows[EB/OL]. arXiv:2507.07400, 2025[2026-09-03]. https://arxiv.org/abs/2507.07400.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[10] CHENG C, WANG Z, LIU Y, et al. LMCache: an efficient KV cache layer for enterprise-scale LLM inference[EB/OL]. arXiv:2510.09665, 2025[2026-09-03]. https://arxiv.org/abs/2510.09665.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[11] BIAN Z, WU F, MA T, et al. Tokencake: a KV-cache-centric serving framework for LLM-based multi-agent applications[EB/OL]. arXiv:2510.18586, 2025[2026-09-03]. https://arxiv.org/abs/2510.18586.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[12] LI H, HE R, MANG Q, et al. Continuum: efficient and robust multi-turn LLM agent scheduling with KV cache time-to-live[EB/OL]. arXiv:2511.02230, 2025[2026-09-03]. https://arxiv.org/abs/2511.02230.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[13] XIA T, LI H, LI Z, et al. Idleness is relative: exploiting tool-call idle windows for offloading in agentic systems with MORI[EB/OL]. arXiv:2606.00866, 2026[2026-09-03]. https://arxiv.org/abs/2606.00866.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[14] ZHENG H, FU F, WU J, et al. Efficient serving for dynamic agent workflows with prediction-based KV-cache management[EB/OL]. arXiv:2605.06472, 2026[2026-09-03]. https://arxiv.org/abs/2605.06472.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[15] BIAN Z, WU F, ZHANG C, et al. TokenDance: scaling multi-agent LLM serving via collective KV cache sharing[EB/OL]. arXiv:2604.03143, 2026[2026-09-03]. https://arxiv.org/abs/2604.03143.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[16] HUANG W, ZHANG J, ZHENG X. CommitKV: lifecycle-aware KV cache compression via commit transitions for multi-turn agents[EB/OL]. arXiv:2608.07855, 2026[2026-09-03]. https://arxiv.org/abs/2608.07855.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[17] LI J, LOU J, LI J. IntentKV: cross-turn intent-aware KV cache pruning for agent inference[EB/OL]. arXiv:2606.09916, 2026[2026-09-03]. https://arxiv.org/abs/2606.09916.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[18] YAO J, SHEN S, DU K, et al. VeriCache: turning lossy KV cache into lossless LLM inference[EB/OL]. arXiv:2605.17613, 2026[2026-09-03]. https://arxiv.org/abs/2605.17613.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[19] LIU Z, YUAN J, JIN H, et al. KIVI: a tuning-free asymmetric 2bit quantization for KV cache[C]//International Conference on Machine Learning. Vienna: PMLR, 2024.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[20] HOOPER C, KIM S, MOHAMMADZADEH H, et al. KVQuant: towards 10 million context length LLM inference with KV cache quantization[C]//Advances in Neural Information Processing Systems. Vancouver: Curran Associates, 2024, 37.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[21] ZHANG Z, SHENG Y, ZHOU T, et al. H2O: heavy-hitter oracle for efficient generative inference of large language models[C]//Advances in Neural Information Processing Systems. New Orleans: Curran Associates, 2023, 36: 34661-34710.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[22] XIAO G, TIAN Y, CHEN B, et al. Efficient streaming language models with attention sinks[C]//International Conference on Learning Representations. Vienna: OpenReview, 2024.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[23] LI Y, HUANG Y, YANG B, et al. SnapKV: LLM knows what you are looking for before generation[C]//Advances in Neural Information Processing Systems. Vancouver: Curran Associates, 2024, 37.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[24] LIU Y, LI H, CHENG Y, et al. CacheGen: KV cache compression and streaming for fast large language model serving[C]//Proceedings of the ACM SIGCOMM 2024 Conference. New York: ACM, 2024: 38-56.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[25] LEE W, LEE J, KIM J, et al. InfiniGen: efficient generative inference of large language models with dynamic KV cache management[C]//18th USENIX Symposium on Operating Systems Design and Implementation. Santa Clara: USENIX Association, 2024: 155-172.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[26] JIANG H, WU Q, LIN C Y, et al. LLMLingua: compressing prompts for accelerated inference of large language models[C]//Proceedings of the 2023 Conference on Empirical Methods in Natural Language Processing. Singapore: ACL, 2023: 13358-13376.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[27] DING Y, JIANG L, ZHENG X, et al. LongLLMLingua: accelerating and enhancing LLMs in long context scenarios via prompt compression[C]//Proceedings of the 62nd Annual Meeting of the Association for Computational Linguistics. Bangkok: ACL, 2024: 1658-1677.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[28] CHEN L, ZAHARIA M, ZOU J. FrugalGPT: how to use large language models while reducing cost and improving performance[EB/OL]. arXiv:2305.05176, 2023[2026-09-03]. https://arxiv.org/abs/2305.05176.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[29] SHENG Y, ZHENG L, YUAN B, et al. FlexGen: high-throughput generative inference of large language models with a single GPU[C]//International Conference on Machine Learning. Honolulu: PMLR, 2023, 202: 31094-31116.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[30] MEGIDDO N, MODHA D S. ARC: a self-tuning, low overhead replacement cache[C]//2nd USENIX Conference on File and Storage Technologies. San Francisco: USENIX Association, 2003: 115-130.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[31] COMPUTE EXPRESS LINK CONSORTIUM. Compute Express Link specification revision 3.1[S/OL]. Beaverton: CXL Consortium, 2023[2026-09-03].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[32] OPENAI. A practical guide to building agents[R/OL]. San Francisco: OpenAI, 2025[2026-09-03].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[33] JIMENEZ C E, YANG J, WETTIG A, et al. SWE-bench: can language models resolve real-world GitHub issues?[C]//International Conference on Learning Representations. Vienna: OpenReview, 2024.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[34] XIE T, ZHANG D, CHEN J, et al. OSWorld: benchmarking multimodal agents for open-ended tasks in real computer environments[C]//Advances in Neural Information Processing Systems. Vancouver: Curran Associates, 2024, 37.</w:t>
      </w:r>
    </w:p>
    <w:p>
      <w:pPr>
        <w:pStyle w:val="BodyText"/>
        <w:keepNext/>
        <w:keepLines w:val="0"/>
        <w:pageBreakBefore/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Lifecycle-aware KV cache for agentic inference</w:t>
      </w:r>
    </w:p>
    <w:p>
      <w:pPr>
        <w:pStyle w:val="BodyText"/>
        <w:keepNext/>
        <w:keepLines w:val="0"/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1"/>
        </w:rPr>
        <w:t>ZHANG Moumou¹, LI Moumou², WANG Moumou¹</w:t>
      </w:r>
    </w:p>
    <w:p>
      <w:pPr>
        <w:pStyle w:val="BodyText"/>
        <w:keepNext/>
        <w:keepLines w:val="0"/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18"/>
        </w:rPr>
        <w:t>(1. School of Computer Science and Technology, A University, Beijing 100000, China; 2. Intelligent Computing Center, A Research Institute, Shanghai 200000, China)</w:t>
      </w:r>
    </w:p>
    <w:p>
      <w:pPr>
        <w:pStyle w:val="BodyText"/>
        <w:keepNext w:val="0"/>
        <w:keepLines w:val="0"/>
        <w:widowControl/>
        <w:spacing w:before="0" w:after="0" w:lineRule="exact" w:line="400"/>
        <w:ind w:firstLine="0"/>
        <w:jc w:val="both"/>
      </w:pPr>
      <w:r>
        <w:rPr>
          <w:rFonts w:ascii="Times New Roman" w:hAnsi="Times New Roman" w:eastAsia="Times New Roman" w:cs="Times New Roman"/>
          <w:b/>
          <w:color w:val="000000"/>
          <w:sz w:val="18"/>
        </w:rPr>
        <w:t>Abstract</w:t>
      </w:r>
      <w:r>
        <w:rPr>
          <w:rFonts w:ascii="Times New Roman" w:hAnsi="Times New Roman" w:eastAsia="Times New Roman" w:cs="Times New Roman"/>
          <w:color w:val="000000"/>
          <w:sz w:val="18"/>
        </w:rPr>
        <w:t xml:space="preserve"> Agentic inference expands a single model invocation into a long-lived workflow of planning, tool execution, observation, verification, and retry. Consequently, the KV cache becomes cross-turn execution state rather than a request-local tensor. This paper presents AgentKV, a lifecycle-aware KV-cache system that annotates state pages with event-graph dependencies and versions, predicts reuse and recomputation costs, and jointly selects storage tier, compression precision, and restoration time across GPU HBM, host DDR/CXL memory, and NVMe. AgentKV further exploits tool-call gaps for migration, reversible compression, and predictive prefetching, while a risk controller preserves full references or recomputation checkpoints for correctness-sensitive states. In an event-level discrete simulation with 3,000 batches and 32 state blocks per batch, under an HBM budget equal to 35% of the working set, AgentKV reduces the P95 visible restoration delay from 5.59 ms to 3.77 ms and cross-tier transfer from 563.10 MB to 159.49 MB per batch compared with LRU, while hiding 50.28% of restoration work. The results show that agentic cache management should optimize lifecycle, reversibility, tail latency, and correctness risk jointly rather than maximizing hit rate alone.</w:t>
      </w:r>
    </w:p>
    <w:p>
      <w:pPr>
        <w:pStyle w:val="BodyText"/>
        <w:keepNext w:val="0"/>
        <w:keepLines w:val="0"/>
        <w:widowControl/>
        <w:spacing w:before="0" w:after="0" w:lineRule="exact" w:line="400"/>
        <w:ind w:firstLine="0"/>
        <w:jc w:val="both"/>
      </w:pPr>
      <w:r>
        <w:rPr>
          <w:rFonts w:ascii="Times New Roman" w:hAnsi="Times New Roman" w:eastAsia="Times New Roman" w:cs="Times New Roman"/>
          <w:b/>
          <w:color w:val="000000"/>
          <w:sz w:val="18"/>
        </w:rPr>
        <w:t>Key words</w:t>
      </w:r>
      <w:r>
        <w:rPr>
          <w:rFonts w:ascii="Times New Roman" w:hAnsi="Times New Roman" w:eastAsia="Times New Roman" w:cs="Times New Roman"/>
          <w:color w:val="000000"/>
          <w:sz w:val="18"/>
        </w:rPr>
        <w:t xml:space="preserve"> large language model; agentic inference; KV cache; tiered memory; lifecycle prediction; reversible compression</w:t>
      </w:r>
    </w:p>
    <w:p/>
    <w:p>
      <w:pPr>
        <w:jc w:val="left"/>
      </w:pPr>
      <w:r>
        <w:rPr>
          <w:b/>
          <w:sz w:val="24"/>
        </w:rPr>
        <w:t>附录A 数据可核验性与修订说明</w:t>
      </w:r>
    </w:p>
    <w:p>
      <w:pPr>
        <w:pStyle w:val="Normal"/>
      </w:pPr>
      <w:r>
        <w:t>附录A 数据可核验性说明与复现材料</w:t>
      </w:r>
    </w:p>
    <w:p>
      <w:pPr>
        <w:pStyle w:val="Normal"/>
      </w:pPr>
      <w:r>
        <w:t>本文核心结果来自事件级离散仿真，而非真实GPU/CXL集群硬件实测。修订版已在摘要、方法与附录中统一标明证据类型，并补充复现脚本 agentkv_sim.py。</w:t>
      </w:r>
    </w:p>
    <w:p>
      <w:pPr>
        <w:pStyle w:val="Normal"/>
      </w:pPr>
      <w:r>
        <w:t>【数据分级标注】External：公开论文或系统资料；Simulated：离散仿真；Derived：由公式推导的辅助算例。</w:t>
      </w:r>
    </w:p>
    <w:p>
      <w:pPr>
        <w:pStyle w:val="Normal"/>
      </w:pPr>
      <w:r>
        <w:t>【真实实验补强建议】正式投稿前，建议在 vLLM/SGLang + Qwen/Llama 模型 + 真实 tool-call trace 下补充端到端实测，并分别报告 P50/P95/P99、恢复时延、跨层传输量与任务成功率。</w:t>
      </w:r>
    </w:p>
    <w:sectPr>
      <w:footerReference r:id="rId9" w:type="default"/>
      <w:footnotePr>
        <w:numFmt w:val="decimal"/>
      </w:footnotePr>
      <w:type w:val="nextPage"/>
      <w:pgSz w:h="16838" w:w="11906"/>
      <w:pgMar w:bottom="1440" w:footer="992" w:gutter="0" w:header="0" w:left="1083" w:right="1083" w:top="1440"/>
      <w:pgNumType w:fmt="decimal"/>
      <w:formProt w:val="false"/>
      <w:textDirection w:val="lrTb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宋体">
    <w:altName w:val="汉仪书宋二KW"/>
    <w:charset w:val="86"/>
    <w:family w:val="auto"/>
    <w:pitch w:val="default"/>
  </w:font>
  <w:font w:name="黑体">
    <w:altName w:val="汉仪中黑KW"/>
    <w:charset w:val="00"/>
    <w:family w:val="auto"/>
    <w:pitch w:val="default"/>
  </w:font>
  <w:font w:name="Arial">
    <w:charset w:val="00"/>
    <w:family w:val="swiss"/>
    <w:pitch w:val="default"/>
  </w:font>
  <w:font w:name="Wingdings">
    <w:charset w:val="00"/>
    <w:family w:val="auto"/>
    <w:pitch w:val="default"/>
  </w:font>
  <w:font w:name="Calibri">
    <w:altName w:val="Helvetica Neue"/>
    <w:charset w:val="00"/>
    <w:family w:val="swiss"/>
    <w:pitch w:val="default"/>
  </w:font>
  <w:font w:name="Times New Roman">
    <w:charset w:val="00"/>
    <w:family w:val="roman"/>
    <w:pitch w:val="default"/>
  </w:font>
  <w:font w:name="Lucida Sans Unicode">
    <w:altName w:val="苹方-简"/>
    <w:charset w:val="00"/>
    <w:family w:val="swiss"/>
    <w:pitch w:val="default"/>
  </w:font>
  <w:font w:name="Liberation Sans">
    <w:altName w:val="Arial"/>
    <w:charset w:val="00"/>
    <w:family w:val="swiss"/>
    <w:pitch w:val="variable"/>
  </w:font>
  <w:font w:name="Symbol">
    <w:altName w:val="Kingsoft Sign"/>
    <w:charset w:val="00"/>
    <w:family w:val="roman"/>
    <w:pitch w:val="default"/>
  </w:font>
  <w:font w:name="Verdana"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 w:line="240" w:lineRule="auto"/>
      <w:ind w:right="142"/>
      <w:jc w:val="right"/>
      <w:rPr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>
      <w:rPr>
        <w:rFonts w:ascii="Times New Roman" w:hAnsi="Times New Roman"/>
        <w:sz w:val="18"/>
      </w:rPr>
      <w:fldChar w:fldCharType="separate"/>
    </w:r>
    <w:r>
      <w:rPr>
        <w:rFonts w:ascii="Times New Roman" w:hAnsi="Times New Roman"/>
        <w:sz w:val="18"/>
      </w:rPr>
      <w:t>1</w: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  <w:spacing w:line="240" w:lineRule="auto" w:before="0" w:after="0"/>
      </w:pPr>
      <w:r>
        <w:rPr>
          <w:rFonts w:ascii="Times New Roman" w:hAnsi="Times New Roman" w:cs="Times New Roman" w:eastAsia="宋体"/>
          <w:rStyle w:val="FootnoteReference"/>
          <w:sz w:val="16"/>
          <w:szCs w:val="16"/>
        </w:rPr>
        <w:footnoteRef/>
      </w:r>
      <w:r>
        <w:rPr>
          <w:rFonts w:ascii="Times New Roman" w:hAnsi="Times New Roman" w:eastAsia="宋体"/>
          <w:sz w:val="16"/>
        </w:rPr>
        <w:t xml:space="preserve"> 作者简介：张某某，博士，副教授，主要研究方向为大模型推理系统、智能体基础设施与分层存储。E-mail：xxxxxxxx@xxxx.edu.cn。通信作者：王某某，博士，教授，主要研究方向为高性能计算与智能系统软件。E-mail：xxxxxxxx@xxxx.edu.cn。基金项目：国家自然科学基金项目“面向智能体推理的执行状态协同管理方法研究”（批准号：xxxxxxxx）。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5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6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7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8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</w:abstractNum>
  <w:abstractNum w:abstractNumId="2">
    <w:lvl w:ilvl="0">
      <w:start w:val="1"/>
      <w:numFmt w:val="bullet"/>
      <w:lvlText w:val=""/>
      <w:lvlJc w:val="left"/>
      <w:pPr>
        <w:tabs>
          <w:tab w:pos="0" w:val="num"/>
        </w:tabs>
        <w:ind w:hanging="420" w:left="420"/>
      </w:pPr>
      <w:rPr>
        <w:rFonts w:ascii="Wingdings" w:cs="Wingdings" w:hAnsi="Wingdings" w:hint="default"/>
      </w:rPr>
    </w:lvl>
    <w:lvl w:ilvl="1">
      <w:start w:val="1"/>
      <w:numFmt w:val="bullet"/>
      <w:lvlText w:val=""/>
      <w:lvlJc w:val="left"/>
      <w:pPr>
        <w:tabs>
          <w:tab w:pos="0" w:val="num"/>
        </w:tabs>
        <w:ind w:hanging="420" w:left="840"/>
      </w:pPr>
      <w:rPr>
        <w:rFonts w:ascii="Wingdings" w:cs="Wingdings" w:hAnsi="Wingdings" w:hint="default"/>
      </w:rPr>
    </w:lvl>
    <w:lvl w:ilvl="2">
      <w:start w:val="1"/>
      <w:numFmt w:val="bullet"/>
      <w:lvlText w:val=""/>
      <w:lvlJc w:val="left"/>
      <w:pPr>
        <w:tabs>
          <w:tab w:pos="0" w:val="num"/>
        </w:tabs>
        <w:ind w:hanging="420" w:left="1260"/>
      </w:pPr>
      <w:rPr>
        <w:rFonts w:ascii="Wingdings" w:cs="Wingdings" w:hAnsi="Wingdings" w:hint="default"/>
      </w:rPr>
    </w:lvl>
    <w:lvl w:ilvl="3">
      <w:start w:val="1"/>
      <w:numFmt w:val="bullet"/>
      <w:lvlText w:val=""/>
      <w:lvlJc w:val="left"/>
      <w:pPr>
        <w:tabs>
          <w:tab w:pos="0" w:val="num"/>
        </w:tabs>
        <w:ind w:hanging="420" w:left="1680"/>
      </w:pPr>
      <w:rPr>
        <w:rFonts w:ascii="Wingdings" w:cs="Wingdings" w:hAnsi="Wingdings" w:hint="default"/>
      </w:rPr>
    </w:lvl>
    <w:lvl w:ilvl="4">
      <w:start w:val="1"/>
      <w:numFmt w:val="bullet"/>
      <w:lvlText w:val=""/>
      <w:lvlJc w:val="left"/>
      <w:pPr>
        <w:tabs>
          <w:tab w:pos="0" w:val="num"/>
        </w:tabs>
        <w:ind w:hanging="420" w:left="2100"/>
      </w:pPr>
      <w:rPr>
        <w:rFonts w:ascii="Wingdings" w:cs="Wingdings" w:hAnsi="Wingdings" w:hint="default"/>
      </w:rPr>
    </w:lvl>
    <w:lvl w:ilvl="5">
      <w:start w:val="1"/>
      <w:numFmt w:val="bullet"/>
      <w:lvlText w:val=""/>
      <w:lvlJc w:val="left"/>
      <w:pPr>
        <w:tabs>
          <w:tab w:pos="0" w:val="num"/>
        </w:tabs>
        <w:ind w:hanging="420" w:left="2520"/>
      </w:pPr>
      <w:rPr>
        <w:rFonts w:ascii="Wingdings" w:cs="Wingdings" w:hAnsi="Wingdings" w:hint="default"/>
      </w:rPr>
    </w:lvl>
    <w:lvl w:ilvl="6">
      <w:start w:val="1"/>
      <w:numFmt w:val="bullet"/>
      <w:lvlText w:val=""/>
      <w:lvlJc w:val="left"/>
      <w:pPr>
        <w:tabs>
          <w:tab w:pos="0" w:val="num"/>
        </w:tabs>
        <w:ind w:hanging="420" w:left="2940"/>
      </w:pPr>
      <w:rPr>
        <w:rFonts w:ascii="Wingdings" w:cs="Wingdings" w:hAnsi="Wingdings" w:hint="default"/>
      </w:rPr>
    </w:lvl>
    <w:lvl w:ilvl="7">
      <w:start w:val="1"/>
      <w:numFmt w:val="bullet"/>
      <w:lvlText w:val=""/>
      <w:lvlJc w:val="left"/>
      <w:pPr>
        <w:tabs>
          <w:tab w:pos="0" w:val="num"/>
        </w:tabs>
        <w:ind w:hanging="420" w:left="3360"/>
      </w:pPr>
      <w:rPr>
        <w:rFonts w:ascii="Wingdings" w:cs="Wingdings" w:hAnsi="Wingdings" w:hint="default"/>
      </w:rPr>
    </w:lvl>
    <w:lvl w:ilvl="8">
      <w:start w:val="1"/>
      <w:numFmt w:val="bullet"/>
      <w:lvlText w:val=""/>
      <w:lvlJc w:val="left"/>
      <w:pPr>
        <w:tabs>
          <w:tab w:pos="0" w:val="num"/>
        </w:tabs>
        <w:ind w:hanging="420" w:left="37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</w:num>
  <w:num w:numId="2">
    <w:abstractNumId w:val="2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2"/>
  <w:embedSystemFonts/>
  <w:proofState w:grammar="clean" w:spelling="clean"/>
  <w:stylePaneFormatFilter w:val="0004"/>
  <w:trackRevisions/>
  <w:doNotTrackMoves/>
  <w:defaultTabStop w:val="709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Fmt w:val="decimal"/>
    <w:footnote w:id="0"/>
    <w:footnote w:id="1"/>
  </w:footnotePr>
  <w:compat>
    <w:doNotExpandShiftReturn/>
    <w:compatSetting w:name="compatibilityMode" w:uri="http://schemas.microsoft.com/office/word" w:val="11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Lohit Devanagari" w:eastAsia="Noto Serif CJK SC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bidi w:val="0"/>
      <w:spacing w:lineRule="exact" w:line="400" w:before="0" w:after="0"/>
    </w:pPr>
    <w:rPr>
      <w:rFonts w:ascii="Times New Roman" w:cs="宋体;汉仪书宋二KW" w:eastAsia="宋体" w:hAnsi="Times New Roman"/>
      <w:color w:val="auto"/>
      <w:sz w:val="21"/>
      <w:szCs w:val="24"/>
      <w:lang w:bidi="ar-SA" w:eastAsia="zh-CN" w:val="en-US"/>
    </w:rPr>
  </w:style>
  <w:style w:styleId="Heading1" w:type="paragraph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Times New Roman" w:hAnsi="Times New Roman" w:eastAsia="黑体"/>
      <w:b/>
      <w:sz w:val="24"/>
    </w:rPr>
  </w:style>
  <w:style w:styleId="Heading2" w:type="paragraph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Times New Roman" w:eastAsia="黑体" w:hAnsi="Times New Roman"/>
      <w:b w:val="0"/>
      <w:kern w:val="2"/>
      <w:sz w:val="21"/>
      <w:szCs w:val="32"/>
    </w:rPr>
  </w:style>
  <w:style w:styleId="Heading3" w:type="paragraph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ascii="黑体;汉仪中黑KW" w:eastAsia="黑体;汉仪中黑KW" w:hAnsi="黑体;汉仪中黑KW"/>
      <w:sz w:val="28"/>
      <w:szCs w:val="28"/>
    </w:rPr>
  </w:style>
  <w:style w:styleId="Heading4" w:type="paragraph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after="290" w:before="280" w:line="374" w:lineRule="auto"/>
      <w:outlineLvl w:val="3"/>
    </w:pPr>
    <w:rPr>
      <w:rFonts w:ascii="Arial" w:cs="Arial" w:eastAsia="黑体;汉仪中黑KW" w:hAnsi="Arial"/>
      <w:b/>
      <w:bCs/>
      <w:sz w:val="28"/>
      <w:szCs w:val="28"/>
    </w:rPr>
  </w:style>
  <w:style w:styleId="Heading5" w:type="paragraph">
    <w:name w:val="heading 5"/>
    <w:basedOn w:val="Normal"/>
    <w:next w:val="BodyText"/>
    <w:qFormat/>
    <w:pPr>
      <w:numPr>
        <w:ilvl w:val="4"/>
        <w:numId w:val="1"/>
      </w:numPr>
      <w:outlineLvl w:val="4"/>
    </w:pPr>
    <w:rPr>
      <w:b/>
      <w:bCs/>
      <w:color w:val="000000"/>
      <w:sz w:val="20"/>
      <w:szCs w:val="20"/>
    </w:rPr>
  </w:style>
  <w:style w:styleId="WW8Num1z0" w:type="character">
    <w:name w:val="WW8Num1z0"/>
    <w:qFormat/>
    <w:rPr>
      <w:rFonts w:ascii="Wingdings" w:cs="Wingdings" w:hAnsi="Wingdings"/>
    </w:rPr>
  </w:style>
  <w:style w:styleId="Style9" w:type="character">
    <w:name w:val="默认段落字体"/>
    <w:qFormat/>
    <w:rPr/>
  </w:style>
  <w:style w:styleId="Style10" w:type="character">
    <w:name w:val="批注文字 字符"/>
    <w:qFormat/>
    <w:rPr>
      <w:rFonts w:ascii="Calibri;Helvetica Neue" w:cs="Calibri;Helvetica Neue" w:eastAsia="宋体;汉仪书宋二KW" w:hAnsi="Calibri;Helvetica Neue"/>
      <w:kern w:val="2"/>
      <w:sz w:val="21"/>
      <w:szCs w:val="21"/>
      <w:lang w:bidi="ar-SA" w:eastAsia="zh-CN" w:val="en-US"/>
    </w:rPr>
  </w:style>
  <w:style w:styleId="Style11" w:type="character">
    <w:name w:val="纯文本 字符"/>
    <w:qFormat/>
    <w:rPr>
      <w:rFonts w:ascii="宋体;汉仪书宋二KW" w:cs="宋体;汉仪书宋二KW" w:hAnsi="宋体;汉仪书宋二KW"/>
      <w:sz w:val="24"/>
      <w:szCs w:val="21"/>
    </w:rPr>
  </w:style>
  <w:style w:styleId="Style12" w:type="character">
    <w:name w:val="脚注文本 字符"/>
    <w:qFormat/>
    <w:rPr>
      <w:rFonts w:eastAsia="宋体;汉仪书宋二KW"/>
      <w:kern w:val="2"/>
      <w:sz w:val="18"/>
      <w:szCs w:val="18"/>
      <w:lang w:bidi="ar-SA" w:eastAsia="zh-CN" w:val="en-US"/>
    </w:rPr>
  </w:style>
  <w:style w:styleId="Style13" w:type="character">
    <w:name w:val="批注主题 字符"/>
    <w:qFormat/>
    <w:rPr>
      <w:rFonts w:ascii="宋体;汉仪书宋二KW" w:cs="宋体;汉仪书宋二KW" w:eastAsia="宋体;汉仪书宋二KW" w:hAnsi="宋体;汉仪书宋二KW"/>
      <w:b/>
      <w:bCs/>
      <w:kern w:val="2"/>
      <w:sz w:val="24"/>
      <w:szCs w:val="24"/>
      <w:lang w:bidi="ar-SA" w:eastAsia="zh-CN" w:val="en-US"/>
    </w:rPr>
  </w:style>
  <w:style w:styleId="Strong" w:type="character">
    <w:name w:val="Strong"/>
    <w:qFormat/>
    <w:rPr>
      <w:b/>
      <w:bCs/>
    </w:rPr>
  </w:style>
  <w:style w:styleId="PageNumber" w:type="character">
    <w:name w:val="page number"/>
    <w:basedOn w:val="Style9"/>
    <w:rPr/>
  </w:style>
  <w:style w:styleId="FollowedHyperlink" w:type="character">
    <w:name w:val="FollowedHyperlink"/>
    <w:rPr>
      <w:color w:val="800080"/>
      <w:u w:val="single"/>
    </w:rPr>
  </w:style>
  <w:style w:styleId="Emphasis" w:type="character">
    <w:name w:val="Emphasis"/>
    <w:qFormat/>
    <w:rPr>
      <w:i w:val="false"/>
      <w:iCs w:val="false"/>
      <w:color w:val="CC0000"/>
    </w:rPr>
  </w:style>
  <w:style w:styleId="Hyperlink" w:type="character">
    <w:name w:val="Hyperlink"/>
    <w:rPr>
      <w:color w:val="0000FF"/>
      <w:u w:val="single"/>
    </w:rPr>
  </w:style>
  <w:style w:styleId="Style14" w:type="character">
    <w:name w:val="批注引用"/>
    <w:qFormat/>
    <w:rPr>
      <w:rFonts w:cs="Times New Roman"/>
      <w:sz w:val="21"/>
      <w:szCs w:val="21"/>
    </w:rPr>
  </w:style>
  <w:style w:styleId="FootnoteCharacters" w:type="character">
    <w:name w:val="Footnote Characters"/>
    <w:qFormat/>
    <w:rPr>
      <w:vertAlign w:val="superscript"/>
    </w:rPr>
  </w:style>
  <w:style w:styleId="apple-style-span" w:type="character">
    <w:name w:val="apple-style-span"/>
    <w:basedOn w:val="Style9"/>
    <w:qFormat/>
    <w:rPr/>
  </w:style>
  <w:style w:styleId="FootnoteTextChar" w:type="character">
    <w:name w:val="Footnote Text Char"/>
    <w:qFormat/>
    <w:rPr>
      <w:rFonts w:eastAsia="宋体;汉仪书宋二KW"/>
      <w:kern w:val="2"/>
      <w:sz w:val="18"/>
      <w:szCs w:val="18"/>
      <w:lang w:bidi="ar-SA" w:eastAsia="zh-CN" w:val="en-US"/>
    </w:rPr>
  </w:style>
  <w:style w:styleId="line31" w:type="character">
    <w:name w:val="line31"/>
    <w:qFormat/>
    <w:rPr>
      <w:color w:val="666666"/>
      <w:sz w:val="10"/>
      <w:szCs w:val="10"/>
    </w:rPr>
  </w:style>
  <w:style w:styleId="Style15" w:type="character">
    <w:name w:val="未处理的提及"/>
    <w:qFormat/>
    <w:rPr>
      <w:color w:val="605E5C"/>
      <w:shd w:fill="E1DFDD" w:val="clear"/>
    </w:rPr>
  </w:style>
  <w:style w:styleId="CharCharCharChar" w:type="character">
    <w:name w:val=" Char Char Char Char"/>
    <w:qFormat/>
    <w:rPr>
      <w:rFonts w:eastAsia="宋体;汉仪书宋二KW"/>
      <w:kern w:val="2"/>
      <w:sz w:val="18"/>
      <w:szCs w:val="18"/>
      <w:lang w:bidi="ar-SA" w:eastAsia="zh-CN" w:val="en-US"/>
    </w:rPr>
  </w:style>
  <w:style w:styleId="CharChar" w:type="character">
    <w:name w:val="脚注文本 Char Char"/>
    <w:qFormat/>
    <w:rPr>
      <w:rFonts w:eastAsia="宋体;汉仪书宋二KW"/>
      <w:kern w:val="2"/>
      <w:sz w:val="18"/>
      <w:szCs w:val="18"/>
      <w:lang w:bidi="ar-SA" w:eastAsia="zh-CN" w:val="en-US"/>
    </w:rPr>
  </w:style>
  <w:style w:styleId="javascript" w:type="character">
    <w:name w:val="javascript"/>
    <w:basedOn w:val="Style9"/>
    <w:qFormat/>
    <w:rPr/>
  </w:style>
  <w:style w:styleId="style331" w:type="character">
    <w:name w:val="style331"/>
    <w:qFormat/>
    <w:rPr>
      <w:rFonts w:cs="Times New Roman"/>
      <w:sz w:val="21"/>
      <w:szCs w:val="21"/>
    </w:rPr>
  </w:style>
  <w:style w:styleId="hangju" w:type="character">
    <w:name w:val="hangju"/>
    <w:basedOn w:val="Style9"/>
    <w:qFormat/>
    <w:rPr/>
  </w:style>
  <w:style w:styleId="f14px" w:type="character">
    <w:name w:val="f14px"/>
    <w:basedOn w:val="Style9"/>
    <w:qFormat/>
    <w:rPr/>
  </w:style>
  <w:style w:styleId="Char" w:type="character">
    <w:name w:val="#正文 Char"/>
    <w:qFormat/>
    <w:rPr>
      <w:color w:val="000000"/>
      <w:sz w:val="21"/>
    </w:rPr>
  </w:style>
  <w:style w:styleId="16" w:type="character">
    <w:name w:val="16"/>
    <w:qFormat/>
    <w:rPr>
      <w:rFonts w:ascii="Times New Roman" w:cs="Times New Roman" w:hAnsi="Times New Roman"/>
      <w:sz w:val="20"/>
      <w:szCs w:val="20"/>
      <w:vertAlign w:val="superscript"/>
    </w:rPr>
  </w:style>
  <w:style w:styleId="datatitle1" w:type="character">
    <w:name w:val="datatitle1"/>
    <w:qFormat/>
    <w:rPr>
      <w:b/>
      <w:bCs/>
      <w:color w:val="10619F"/>
      <w:sz w:val="21"/>
      <w:szCs w:val="21"/>
    </w:rPr>
  </w:style>
  <w:style w:styleId="forword1" w:type="character">
    <w:name w:val="forword1"/>
    <w:qFormat/>
    <w:rPr>
      <w:vanish w:val="false"/>
    </w:rPr>
  </w:style>
  <w:style w:styleId="content" w:type="character">
    <w:name w:val="content"/>
    <w:basedOn w:val="Style9"/>
    <w:qFormat/>
    <w:rPr/>
  </w:style>
  <w:style w:styleId="apple-converted-space" w:type="character">
    <w:name w:val="apple-converted-space"/>
    <w:basedOn w:val="Style9"/>
    <w:qFormat/>
    <w:rPr/>
  </w:style>
  <w:style w:styleId="smallsize1" w:type="character">
    <w:name w:val="smallsize1"/>
    <w:qFormat/>
    <w:rPr>
      <w:sz w:val="12"/>
      <w:szCs w:val="12"/>
    </w:rPr>
  </w:style>
  <w:style w:styleId="CharChar5" w:type="character">
    <w:name w:val=" Char Char5"/>
    <w:qFormat/>
    <w:rPr>
      <w:rFonts w:ascii="Times New Roman" w:cs="Times New Roman" w:eastAsia="宋体;汉仪书宋二KW" w:hAnsi="Times New Roman"/>
      <w:sz w:val="18"/>
      <w:szCs w:val="18"/>
    </w:rPr>
  </w:style>
  <w:style w:styleId="Char1" w:type="character">
    <w:name w:val="脚注文本 Char"/>
    <w:qFormat/>
    <w:rPr>
      <w:rFonts w:eastAsia="宋体;汉仪书宋二KW"/>
      <w:kern w:val="2"/>
      <w:sz w:val="18"/>
      <w:szCs w:val="18"/>
      <w:lang w:bidi="ar-SA" w:eastAsia="zh-CN" w:val="en-US"/>
    </w:rPr>
  </w:style>
  <w:style w:styleId="print1" w:type="character">
    <w:name w:val="print1"/>
    <w:qFormat/>
    <w:rPr>
      <w:vanish w:val="false"/>
    </w:rPr>
  </w:style>
  <w:style w:styleId="pos2" w:type="character">
    <w:name w:val="pos2"/>
    <w:qFormat/>
    <w:rPr>
      <w:b/>
      <w:bCs/>
      <w:sz w:val="26"/>
      <w:szCs w:val="26"/>
    </w:rPr>
  </w:style>
  <w:style w:styleId="phonetic2" w:type="character">
    <w:name w:val="phonetic2"/>
    <w:qFormat/>
    <w:rPr>
      <w:rFonts w:ascii="Lucida Sans Unicode;苹方-简" w:cs="Lucida Sans Unicode;苹方-简" w:hAnsi="Lucida Sans Unicode;苹方-简"/>
      <w:b w:val="false"/>
      <w:bCs w:val="false"/>
      <w:color w:val="666666"/>
      <w:sz w:val="22"/>
      <w:szCs w:val="22"/>
    </w:rPr>
  </w:style>
  <w:style w:styleId="mw-headline" w:type="character">
    <w:name w:val="mw-headline"/>
    <w:basedOn w:val="Style9"/>
    <w:qFormat/>
    <w:rPr/>
  </w:style>
  <w:style w:styleId="cmt1" w:type="character">
    <w:name w:val="cmt1"/>
    <w:qFormat/>
    <w:rPr>
      <w:vanish w:val="false"/>
    </w:rPr>
  </w:style>
  <w:style w:styleId="author1" w:type="character">
    <w:name w:val="author1"/>
    <w:basedOn w:val="Style9"/>
    <w:qFormat/>
    <w:rPr/>
  </w:style>
  <w:style w:styleId="bigsize1" w:type="character">
    <w:name w:val="bigsize1"/>
    <w:qFormat/>
    <w:rPr>
      <w:sz w:val="15"/>
      <w:szCs w:val="15"/>
    </w:rPr>
  </w:style>
  <w:style w:styleId="da" w:type="character">
    <w:name w:val="da"/>
    <w:basedOn w:val="Style9"/>
    <w:qFormat/>
    <w:rPr/>
  </w:style>
  <w:style w:styleId="FootnoteReference" w:type="character">
    <w:name w:val="footnote reference"/>
    <w:rPr>
      <w:vertAlign w:val="superscript"/>
    </w:rPr>
  </w:style>
  <w:style w:styleId="EndnoteReference" w:type="character">
    <w:name w:val="endnote reference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lineRule="exact" w:line="400" w:before="0" w:after="0"/>
    </w:pPr>
    <w:rPr>
      <w:rFonts w:ascii="Times New Roman" w:hAnsi="Times New Roman" w:eastAsia="宋体"/>
      <w:sz w:val="21"/>
    </w:rPr>
  </w:style>
  <w:style w:styleId="List" w:type="paragraph">
    <w:name w:val="List"/>
    <w:basedOn w:val="BodyText"/>
    <w:pPr/>
    <w:rPr>
      <w:rFonts w:cs="Lohit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Lohit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ohit Devanagari"/>
    </w:rPr>
  </w:style>
  <w:style w:styleId="TOC7" w:type="paragraph">
    <w:name w:val="toc 7"/>
    <w:basedOn w:val="Normal"/>
    <w:next w:val="Normal"/>
    <w:pPr>
      <w:ind w:hanging="0" w:left="1260" w:right="0"/>
    </w:pPr>
    <w:rPr>
      <w:sz w:val="18"/>
      <w:szCs w:val="18"/>
    </w:rPr>
  </w:style>
  <w:style w:styleId="Style16" w:type="paragraph">
    <w:name w:val="文档结构图"/>
    <w:basedOn w:val="Normal"/>
    <w:qFormat/>
    <w:pPr>
      <w:shd w:fill="000080" w:val="clear"/>
    </w:pPr>
    <w:rPr/>
  </w:style>
  <w:style w:styleId="Style17" w:type="paragraph">
    <w:name w:val="批注文字"/>
    <w:basedOn w:val="Normal"/>
    <w:qFormat/>
    <w:pPr>
      <w:widowControl w:val="false"/>
    </w:pPr>
    <w:rPr>
      <w:rFonts w:ascii="Calibri;Helvetica Neue" w:cs="Calibri;Helvetica Neue" w:hAnsi="Calibri;Helvetica Neue"/>
      <w:kern w:val="2"/>
      <w:sz w:val="21"/>
      <w:szCs w:val="21"/>
    </w:rPr>
  </w:style>
  <w:style w:styleId="BodyTextIndent" w:type="paragraph">
    <w:name w:val="Body Text Indent"/>
    <w:basedOn w:val="Normal"/>
    <w:pPr>
      <w:ind w:hanging="2520" w:left="2520" w:right="0"/>
    </w:pPr>
    <w:rPr>
      <w:sz w:val="28"/>
    </w:rPr>
  </w:style>
  <w:style w:styleId="TOC5" w:type="paragraph">
    <w:name w:val="toc 5"/>
    <w:basedOn w:val="Normal"/>
    <w:next w:val="Normal"/>
    <w:pPr>
      <w:ind w:hanging="0" w:left="840" w:right="0"/>
    </w:pPr>
    <w:rPr>
      <w:sz w:val="18"/>
      <w:szCs w:val="18"/>
    </w:rPr>
  </w:style>
  <w:style w:styleId="TOC3" w:type="paragraph">
    <w:name w:val="toc 3"/>
    <w:basedOn w:val="Normal"/>
    <w:next w:val="Normal"/>
    <w:pPr>
      <w:ind w:hanging="0" w:left="420" w:right="0"/>
    </w:pPr>
    <w:rPr>
      <w:i/>
      <w:iCs/>
      <w:sz w:val="20"/>
      <w:szCs w:val="20"/>
    </w:rPr>
  </w:style>
  <w:style w:styleId="Style18" w:type="paragraph">
    <w:name w:val="纯文本"/>
    <w:basedOn w:val="Normal"/>
    <w:qFormat/>
    <w:pPr/>
    <w:rPr>
      <w:rFonts w:cs="Times New Roman"/>
      <w:szCs w:val="21"/>
    </w:rPr>
  </w:style>
  <w:style w:styleId="TOC8" w:type="paragraph">
    <w:name w:val="toc 8"/>
    <w:basedOn w:val="Normal"/>
    <w:next w:val="Normal"/>
    <w:pPr>
      <w:ind w:hanging="0" w:left="1470" w:right="0"/>
    </w:pPr>
    <w:rPr>
      <w:sz w:val="18"/>
      <w:szCs w:val="18"/>
    </w:rPr>
  </w:style>
  <w:style w:styleId="Style19" w:type="paragraph">
    <w:name w:val="日期"/>
    <w:basedOn w:val="Normal"/>
    <w:next w:val="Normal"/>
    <w:qFormat/>
    <w:pPr/>
    <w:rPr>
      <w:sz w:val="32"/>
    </w:rPr>
  </w:style>
  <w:style w:styleId="2" w:type="paragraph">
    <w:name w:val="正文文本缩进 2"/>
    <w:basedOn w:val="Normal"/>
    <w:qFormat/>
    <w:pPr>
      <w:ind w:firstLine="630" w:left="0" w:right="0"/>
    </w:pPr>
    <w:rPr/>
  </w:style>
  <w:style w:styleId="Style20" w:type="paragraph">
    <w:name w:val="批注框文本"/>
    <w:basedOn w:val="Normal"/>
    <w:qFormat/>
    <w:pPr/>
    <w:rPr>
      <w:sz w:val="18"/>
      <w:szCs w:val="18"/>
    </w:rPr>
  </w:style>
  <w:style w:styleId="HeaderandFooter" w:type="paragraph">
    <w:name w:val="Header and Footer"/>
    <w:basedOn w:val="Normal"/>
    <w:qFormat/>
    <w:pPr>
      <w:suppressLineNumbers/>
      <w:tabs>
        <w:tab w:pos="420" w:val="clear"/>
        <w:tab w:leader="none" w:pos="4819" w:val="center"/>
        <w:tab w:leader="none" w:pos="9638" w:val="right"/>
      </w:tabs>
    </w:pPr>
    <w:rPr/>
  </w:style>
  <w:style w:styleId="Footer" w:type="paragraph">
    <w:name w:val="footer"/>
    <w:basedOn w:val="Normal"/>
    <w:pPr>
      <w:tabs>
        <w:tab w:pos="420" w:val="clear"/>
        <w:tab w:leader="none" w:pos="4153" w:val="center"/>
        <w:tab w:leader="none" w:pos="8306" w:val="right"/>
      </w:tabs>
      <w:snapToGrid w:val="false"/>
    </w:pPr>
    <w:rPr>
      <w:sz w:val="18"/>
      <w:szCs w:val="18"/>
    </w:rPr>
  </w:style>
  <w:style w:styleId="Header" w:type="paragraph">
    <w:name w:val="header"/>
    <w:basedOn w:val="Normal"/>
    <w:pPr>
      <w:pBdr>
        <w:bottom w:color="000000" w:space="1" w:sz="4" w:val="double"/>
      </w:pBdr>
      <w:tabs>
        <w:tab w:pos="420" w:val="clear"/>
        <w:tab w:leader="none" w:pos="4153" w:val="center"/>
        <w:tab w:leader="none" w:pos="8306" w:val="right"/>
      </w:tabs>
      <w:snapToGrid w:val="false"/>
      <w:jc w:val="center"/>
    </w:pPr>
    <w:rPr>
      <w:sz w:val="18"/>
      <w:szCs w:val="18"/>
    </w:rPr>
  </w:style>
  <w:style w:styleId="TOC1" w:type="paragraph">
    <w:name w:val="toc 1"/>
    <w:basedOn w:val="Normal"/>
    <w:next w:val="Normal"/>
    <w:pPr>
      <w:spacing w:after="120" w:before="120"/>
    </w:pPr>
    <w:rPr>
      <w:b/>
      <w:bCs/>
      <w:caps/>
      <w:sz w:val="20"/>
      <w:szCs w:val="20"/>
    </w:rPr>
  </w:style>
  <w:style w:styleId="TOC4" w:type="paragraph">
    <w:name w:val="toc 4"/>
    <w:basedOn w:val="Normal"/>
    <w:next w:val="Normal"/>
    <w:pPr>
      <w:ind w:hanging="0" w:left="630" w:right="0"/>
    </w:pPr>
    <w:rPr>
      <w:sz w:val="18"/>
      <w:szCs w:val="18"/>
    </w:rPr>
  </w:style>
  <w:style w:styleId="FootnoteText" w:type="paragraph">
    <w:name w:val="footnote text"/>
    <w:basedOn w:val="Normal"/>
    <w:pPr>
      <w:snapToGrid w:val="false"/>
    </w:pPr>
    <w:rPr>
      <w:rFonts w:ascii="Times New Roman" w:cs="Times New Roman" w:hAnsi="Times New Roman"/>
      <w:kern w:val="2"/>
      <w:sz w:val="18"/>
      <w:szCs w:val="18"/>
    </w:rPr>
  </w:style>
  <w:style w:styleId="TOC6" w:type="paragraph">
    <w:name w:val="toc 6"/>
    <w:basedOn w:val="Normal"/>
    <w:next w:val="Normal"/>
    <w:pPr>
      <w:ind w:hanging="0" w:left="1050" w:right="0"/>
    </w:pPr>
    <w:rPr>
      <w:sz w:val="18"/>
      <w:szCs w:val="18"/>
    </w:rPr>
  </w:style>
  <w:style w:styleId="3" w:type="paragraph">
    <w:name w:val="正文文本缩进 3"/>
    <w:basedOn w:val="Normal"/>
    <w:qFormat/>
    <w:pPr>
      <w:ind w:firstLine="3032" w:left="0" w:right="0"/>
    </w:pPr>
    <w:rPr>
      <w:b/>
      <w:bCs/>
      <w:sz w:val="44"/>
    </w:rPr>
  </w:style>
  <w:style w:styleId="TOC2" w:type="paragraph">
    <w:name w:val="toc 2"/>
    <w:basedOn w:val="Normal"/>
    <w:next w:val="Normal"/>
    <w:pPr>
      <w:ind w:hanging="0" w:left="210" w:right="0"/>
    </w:pPr>
    <w:rPr>
      <w:smallCaps/>
      <w:sz w:val="20"/>
      <w:szCs w:val="20"/>
    </w:rPr>
  </w:style>
  <w:style w:styleId="TOC9" w:type="paragraph">
    <w:name w:val="toc 9"/>
    <w:basedOn w:val="Normal"/>
    <w:next w:val="Normal"/>
    <w:pPr>
      <w:ind w:hanging="0" w:left="1680" w:right="0"/>
    </w:pPr>
    <w:rPr>
      <w:sz w:val="18"/>
      <w:szCs w:val="18"/>
    </w:rPr>
  </w:style>
  <w:style w:styleId="Style21" w:type="paragraph">
    <w:name w:val="普通(网站)"/>
    <w:basedOn w:val="Normal"/>
    <w:qFormat/>
    <w:pPr>
      <w:spacing w:after="100" w:before="100"/>
    </w:pPr>
    <w:rPr/>
  </w:style>
  <w:style w:styleId="Style22" w:type="paragraph">
    <w:name w:val="批注主题"/>
    <w:basedOn w:val="Style17"/>
    <w:next w:val="Style17"/>
    <w:qFormat/>
    <w:pPr>
      <w:widowControl/>
    </w:pPr>
    <w:rPr>
      <w:rFonts w:ascii="宋体;汉仪书宋二KW" w:cs="宋体;汉仪书宋二KW" w:hAnsi="宋体;汉仪书宋二KW"/>
      <w:b/>
      <w:bCs/>
      <w:sz w:val="24"/>
      <w:szCs w:val="24"/>
    </w:rPr>
  </w:style>
  <w:style w:styleId="Style23" w:type="paragraph">
    <w:name w:val="#正文"/>
    <w:basedOn w:val="Normal"/>
    <w:qFormat/>
    <w:pPr>
      <w:widowControl w:val="false"/>
      <w:ind w:firstLine="200" w:left="0" w:right="0"/>
      <w:jc w:val="both"/>
    </w:pPr>
    <w:rPr>
      <w:rFonts w:ascii="Times New Roman" w:cs="Times New Roman" w:hAnsi="Times New Roman"/>
      <w:color w:val="000000"/>
      <w:sz w:val="21"/>
      <w:szCs w:val="20"/>
    </w:rPr>
  </w:style>
  <w:style w:styleId="1" w:type="paragraph">
    <w:name w:val="列出段落1"/>
    <w:basedOn w:val="Normal"/>
    <w:qFormat/>
    <w:pPr>
      <w:widowControl w:val="false"/>
      <w:ind w:firstLine="420" w:left="0" w:right="0"/>
      <w:jc w:val="both"/>
    </w:pPr>
    <w:rPr>
      <w:rFonts w:ascii="Calibri;Helvetica Neue" w:cs="Calibri;Helvetica Neue" w:hAnsi="Calibri;Helvetica Neue"/>
      <w:kern w:val="2"/>
      <w:sz w:val="21"/>
      <w:szCs w:val="21"/>
    </w:rPr>
  </w:style>
  <w:style w:styleId="Char2" w:type="paragraph">
    <w:name w:val="Char"/>
    <w:basedOn w:val="Normal"/>
    <w:qFormat/>
    <w:pPr/>
    <w:rPr/>
  </w:style>
  <w:style w:styleId="Style24" w:type="paragraph">
    <w:name w:val="修订"/>
    <w:qFormat/>
    <w:pPr>
      <w:widowControl/>
      <w:bidi w:val="0"/>
    </w:pPr>
    <w:rPr>
      <w:rFonts w:ascii="宋体;汉仪书宋二KW" w:cs="宋体;汉仪书宋二KW" w:eastAsia="宋体;汉仪书宋二KW" w:hAnsi="宋体;汉仪书宋二KW"/>
      <w:color w:val="auto"/>
      <w:sz w:val="24"/>
      <w:szCs w:val="24"/>
      <w:lang w:bidi="ar-SA" w:eastAsia="zh-CN" w:val="en-US"/>
    </w:rPr>
  </w:style>
  <w:style w:styleId="Reference" w:type="paragraph">
    <w:name w:val="Reference"/>
    <w:basedOn w:val="Normal"/>
    <w:qFormat/>
    <w:pPr>
      <w:widowControl w:val="false"/>
      <w:jc w:val="both"/>
    </w:pPr>
    <w:rPr>
      <w:rFonts w:ascii="Times New Roman" w:cs="Times New Roman" w:hAnsi="Times New Roman"/>
      <w:kern w:val="2"/>
      <w:sz w:val="18"/>
      <w:szCs w:val="18"/>
    </w:rPr>
  </w:style>
  <w:style w:styleId="ListParagraph" w:type="paragraph">
    <w:name w:val="List Paragraph"/>
    <w:basedOn w:val="Normal"/>
    <w:qFormat/>
    <w:pPr>
      <w:spacing w:after="200" w:before="0" w:line="276" w:lineRule="auto"/>
      <w:ind w:hanging="0" w:left="720" w:right="0"/>
      <w:contextualSpacing/>
    </w:pPr>
    <w:rPr>
      <w:rFonts w:ascii="Calibri;Helvetica Neue" w:cs="Calibri;Helvetica Neue" w:hAnsi="Calibri;Helvetica Neue"/>
      <w:sz w:val="22"/>
      <w:szCs w:val="22"/>
      <w:lang w:eastAsia="en-US"/>
    </w:rPr>
  </w:style>
  <w:style w:styleId="xl31" w:type="paragraph">
    <w:name w:val="xl31"/>
    <w:basedOn w:val="Normal"/>
    <w:qFormat/>
    <w:pPr>
      <w:spacing w:after="100" w:before="100"/>
    </w:pPr>
    <w:rPr/>
  </w:style>
  <w:style w:styleId="0" w:type="paragraph">
    <w:name w:val="0"/>
    <w:basedOn w:val="Normal"/>
    <w:qFormat/>
    <w:pPr/>
    <w:rPr>
      <w:szCs w:val="20"/>
    </w:rPr>
  </w:style>
  <w:style w:styleId="p0" w:type="paragraph">
    <w:name w:val="p0"/>
    <w:basedOn w:val="Normal"/>
    <w:qFormat/>
    <w:pPr/>
    <w:rPr>
      <w:szCs w:val="21"/>
    </w:rPr>
  </w:style>
  <w:style w:styleId="Char3" w:type="paragraph">
    <w:name w:val=" Char"/>
    <w:basedOn w:val="Normal"/>
    <w:qFormat/>
    <w:pPr/>
    <w:rPr>
      <w:szCs w:val="21"/>
    </w:rPr>
  </w:style>
  <w:style w:styleId="FrameContents" w:type="paragraph">
    <w:name w:val="Frame Contents"/>
    <w:basedOn w:val="Normal"/>
    <w:qFormat/>
    <w:pPr/>
    <w:rPr/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WW8Num1" w:type="numbering">
    <w:name w:val="WW8Num1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29" Type="http://schemas.openxmlformats.org/officeDocument/2006/relationships/image" Target="media/rId29.png"/><Relationship Id="rId36" Type="http://schemas.openxmlformats.org/officeDocument/2006/relationships/image" Target="media/rId36.png"/><Relationship Id="rId44" Type="http://schemas.openxmlformats.org/officeDocument/2006/relationships/image" Target="media/rId44.png"/><Relationship Id="rId40" Type="http://schemas.openxmlformats.org/officeDocument/2006/relationships/image" Target="media/rId40.png"/><Relationship Id="rId61" Type="http://schemas.openxmlformats.org/officeDocument/2006/relationships/image" Target="media/rId61.png"/><Relationship Id="rId70" Type="http://schemas.openxmlformats.org/officeDocument/2006/relationships/image" Target="media/rId70.png"/><Relationship Id="rId24" Type="http://schemas.openxmlformats.org/officeDocument/2006/relationships/image" Target="media/rId24.png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25440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大模型推理的内存中心化架构演进</dc:title>
  <dc:creator>张某某；李某某；王某某</dc:creator>
  <cp:keywords>大语言模型, 推理系统, KV缓存, CXL, PIM, Chiplet</cp:keywords>
  <dcterms:created xsi:type="dcterms:W3CDTF">2026-09-02T16:46:00Z</dcterms:created>
  <dcterms:modified xsi:type="dcterms:W3CDTF">2026-09-02T16:46:00Z</dcterms:modified>
  <dc:subject>大模型推理、KV缓存、CXL、PIM与Chiplet的内存中心化架构综述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