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pStyle w:val="Normal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44"/>
        </w:rPr>
        <w:t>面向MoE推理的Chiplet专家复用架构</w:t>
      </w:r>
      <w:r>
        <w:rPr>
          <w:rFonts w:ascii="Times New Roman" w:hAnsi="Times New Roman" w:eastAsia="黑体" w:cs="Times New Roman"/>
          <w:color w:val="000000"/>
          <w:sz w:val="44"/>
          <w:rStyle w:val="FootnoteReference"/>
        </w:rPr>
        <w:footnoteReference w:id="20"/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张某某¹，李某某²，王某某¹</w:t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（1. 某大学计算机科学与技术学院，北京 100000；2. 某研究院智能计算中心，上海 200000）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宋体" w:cs="Times New Roman"/>
          <w:b/>
          <w:color w:val="000000"/>
          <w:sz w:val="18"/>
        </w:rPr>
        <w:t>摘要</w:t>
      </w:r>
      <w:r>
        <w:rPr>
          <w:rFonts w:ascii="Times New Roman" w:hAnsi="Times New Roman" w:eastAsia="宋体" w:cs="Times New Roman"/>
          <w:color w:val="000000"/>
          <w:sz w:val="18"/>
        </w:rPr>
        <w:t xml:space="preserve"> 混合专家大模型通过稀疏激活扩展参数容量，但Top-k路由会在Chiplet系统中形成专家热点、随机权重装载、片间散集通信和同步尾延迟。针对热门复制、静态放置与单步预取难以联合利用跨层依赖和互连状态的问题，文章提出CoMoE-Chip。该架构在Attention、专家、路由控制和HBM/PIM内存Chiplet之间维护版本化目录，以专家转移图预测下一层候选，联合执行有限副本、置信度预取、拥塞感知映射、信用控制与分层归并。合成Trace驱动解析模型设置64个专家、Top-2路由、8个专家Chiplet、Zipf偏斜系数1.1、跨层可预测性0.65和512 GB/s有效片间带宽。结果显示，相较静态映射，CoMoE-Chip将平均每层时延由4.742 ms降至1.621 ms，P95由5.186 ms降至1.711 ms，远端专家装载量由12.954 GB/批降至1.245 GB/批，分别降低65.82%、67.01%和90.39%，负载均衡度由0.516提高到0.804，副本因子为1.26。研究表明，MoE Chiplet优化应把专家转移、物理驻留、网络压力和尾延迟作为统一闭环。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宋体" w:cs="Times New Roman"/>
          <w:b/>
          <w:color w:val="000000"/>
          <w:sz w:val="18"/>
        </w:rPr>
        <w:t>关键词</w:t>
      </w:r>
      <w:r>
        <w:rPr>
          <w:rFonts w:ascii="Times New Roman" w:hAnsi="Times New Roman" w:eastAsia="宋体" w:cs="Times New Roman"/>
          <w:color w:val="000000"/>
          <w:sz w:val="18"/>
        </w:rPr>
        <w:t xml:space="preserve"> 混合专家模型；Chiplet；专家复用；跨层路由；拥塞感知调度；近存计算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混合专家（Mixture-of-Experts，MoE）以门控网络为每个Token选择少量前馈专家，在保持单Token计算量近似稳定的同时扩大模型总参数量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[2-6]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。DeepSeekMoE、DeepSeek-V3、DeepSeek-R1与Qwen3进一步把细粒度专家、共享专家和大规模专家并行用于前沿模型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[7-10]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然而，稀疏计算并不等于稀疏系统成本：专家权重仍需被存储和按需读取，Token必须在路由器、专家设备和归并节点之间散集，且每层输出要等待最慢专家完成。Tutel、MegaBlocks、DeepSpeed-MoE和Lina通过稀疏内核、通信重排与流水化降低GPU集群开销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[11-14]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，MoETuner和CRAFT从跨层依赖、专家放置及副本收益优化多GPU服务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[15-16]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。随着UCIe 3.0把Chiplet链路推进至48/64 GT/s等级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，多Chiplet加速器为细粒度专家迁移和片上复用提供了新空间；但Expert Streaming、HCRMap、MoEntwine、Mozart、ThAME与Sieve等工作也表明，片间带宽、存储层次、专家热点和执行队列会成为共同瓶颈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[17-22]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文章提出CoMoE-Chip，目标不是宣称首次发现跨层依赖或专家复制，而是把跨层转移置信度、有限副本、权重预取、Token到副本映射和NoP信用控制放入同一硬件—运行时闭环。文章贡献为：①建立可解释的专家转移图和不确定性度量；②设计分层驻留、有限复制和可撤销预取机制；③提出考虑模型路由分数、计算队列、片间路径和权重装载的受约束映射；④以合成Trace驱动解析模型分析路由偏斜、转移可预测性和Die-to-Die带宽的作用边界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1 MoE推理的Chiplet瓶颈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1.1 稀疏激活与稠密系统状态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设第l层输入Token表示为h_t^l，路由器输出对E个专家的分数g_t^l，Top-k集合为S_t^l，则MoE层输出可写为：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y_t^l = Σ_(e∈S_t^l) p_(t,e)^l E_e^l(h_t^l),   S_t^l = TopK(g_t^l,k)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（1）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式（1）中的计算只执行k个专家，但设备必须能够访问全部E个专家权重。对于低批量解码，一个批次可能只为某个专家分配1~2个Token，专家GEMM退化为低利用率矩阵—向量计算；若专家权重不在本地，还要支付从HBM、PIM或远端Chiplet装载的固定开销。随着专家数增加和单Token激活比例下降，活跃专家数量与每个专家的Token数呈现“长尾+稀疏并集”，Sieve把这一趋势概括为双峰专家分布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，ReXpert则指出即使权重驻留，路由偏斜仍会通过局部占用率损失降低实际矩阵利用率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表1 MoE在多Chiplet系统中的压力传播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2435"/>
        <w:gridCol w:w="2435"/>
        <w:gridCol w:w="2435"/>
        <w:gridCol w:w="2435"/>
      </w:tblGrid>
      <w:tr>
        <w:trPr>
          <w:tblHeader w:val="true"/>
          <w:cantSplit/>
        </w:trPr>
        <w:tc>
          <w:tcPr>
            <w:tcW w:type="dxa" w:w="1303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压力源</w:t>
            </w:r>
          </w:p>
        </w:tc>
        <w:tc>
          <w:tcPr>
            <w:tcW w:type="dxa" w:w="204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直接现象</w:t>
            </w:r>
          </w:p>
        </w:tc>
        <w:tc>
          <w:tcPr>
            <w:tcW w:type="dxa" w:w="2381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二阶影响</w:t>
            </w:r>
          </w:p>
        </w:tc>
        <w:tc>
          <w:tcPr>
            <w:tcW w:type="dxa" w:w="2948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仅做静态映射的缺陷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专家热点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少数专家接收大量Token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队列变长、尾延迟由热点决定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无法适应主题、阶段和会话变化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长尾激活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大量专家每批仅有少量Token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低矩阵利用率、权重摊销不足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冷专家仍占固定近端容量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权重装载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非本地专家需跨层级读取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挤占HBM/D2D带宽并增加能耗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未利用下一层预测提前隐藏时延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Token散集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路由结果造成突发多对多流量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NoP热点、缓冲阻塞和回压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平均带宽充足仍可能出现局部拥塞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同步归并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Top-k专家输出完成后才能继续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最慢专家放大P95/P99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只优化平均负载不能消除长尾</w:t>
            </w:r>
          </w:p>
        </w:tc>
      </w:tr>
      <w:tr>
        <w:trPr>
          <w:cantSplit/>
        </w:trPr>
        <w:tc>
          <w:tcPr>
            <w:tcW w:type="dxa" w:w="130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副本更新</w:t>
            </w:r>
          </w:p>
        </w:tc>
        <w:tc>
          <w:tcPr>
            <w:tcW w:type="dxa" w:w="204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热点副本需要复制、迁移和失效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容量压力、版本一致性和迁移抖动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盲目复制会挤出高价值权重</w:t>
            </w:r>
          </w:p>
        </w:tc>
      </w:tr>
    </w:tbl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1.2 热点频率不足以描述路由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专家流行度回答“当前层哪些专家被频繁选择”，却没有回答“当前专家之后最可能访问哪个下一层专家”。MoETuner已经观察到跨层路由依赖可用于设备放置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，Expert Streaming进一步用动态专家轨迹组织微切片流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[17]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文章把依赖显式表示为层间转移图：节点是〈层，专家〉，有向边权是相邻层共同路由的条件概率。相同流行度的两个专家可能具有不同后继集合：一个后继高度集中，适合确定性预取；另一个后继熵高，激进预取会制造无效流量。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P_l(i,j) = [N_l(i,j)+ε]/[Σ_j N_l(i,j)+εE]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（2）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H_l(i) = -Σ_j P_l(i,j) log P_l(i,j)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（3）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其中N_l(i,j)是在滑动窗口中从第l层专家i转移到第l+1层专家j的计数，ε为平滑项，H_l(i)是转移熵。运行时对低熵边使用确定性预取，对中熵边保留少量候选，对高熵节点只维持热点副本而不提前装载。图2给出12个专家的示例转移矩阵；主对角线之外仍存在强边，说明按专家编号邻近或仅按全局热度布局不能替代实际依赖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37073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ran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07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图1 跨层专家转移概率示例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1.3 Chiplet机会与新约束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Chiplet允许将Attention、专家计算、路由控制和高容量存储按不同工艺节点实现，并通过封装内互连连接。UCIe 3.0支持更高数据率和Raw Streaming等映射，为低开销片间流提供标准基础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。但Chiplet并不自动消除数据移动：D2D链路的双向带宽、物理路径、缓冲深度、重传、组播支持和功耗均有限。MoEntwine通过交织映射利用不同阶段的冷热链路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[19]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，Mozart以NoP-Tree和异构Chiplet支持专家协同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[20]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，ThAME通过3D异构内存处理权重和Token流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[21]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。CoMoE-Chip据此把NoP视为一等资源，而不是在放置完成后才计算通信代价。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2 CoMoE-Chip总体设计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2.1 硬件组成与数据通路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805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0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图2 CoMoE-Chip总体架构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如图2所示，系统由Attention Chiplet、若干专家Chiplet、路由控制Chiplet、HBM/PIM内存Chiplet和UCIe/NoP组成。Attention Chiplet完成归一化、投影、注意力及路由前置计算；专家Chiplet包含矩阵阵列、片上SRAM、Token队列和可编程专家页表；路由控制Chiplet维护转移图、版本化目录、链路遥测和信用；内存Chiplet保存完整专家权重、冷副本和预取缓冲，并可对低算术强度专家提供近存执行。该划分与ThAME的异构内存、Sieve的GPU—PIM动态分工和ReXpert的近存专家池方向一致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[21-23]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，但CoMoE-Chip把跨层预测与物理副本目录直接耦合。</w:t>
      </w:r>
    </w:p>
    <w:p>
      <w:r>
        <w:br w:type="page"/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表2 CoMoE-Chip模块、状态和关键接口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2435"/>
        <w:gridCol w:w="2435"/>
        <w:gridCol w:w="2435"/>
        <w:gridCol w:w="243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模块</w:t>
            </w:r>
          </w:p>
        </w:tc>
        <w:tc>
          <w:tcPr>
            <w:tcW w:type="dxa" w:w="215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主要状态</w:t>
            </w:r>
          </w:p>
        </w:tc>
        <w:tc>
          <w:tcPr>
            <w:tcW w:type="dxa" w:w="260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关键动作</w:t>
            </w:r>
          </w:p>
        </w:tc>
        <w:tc>
          <w:tcPr>
            <w:tcW w:type="dxa" w:w="260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失败或退化路径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Attention Chiplet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Token、KV、路由前特征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生成路由分数，发出预测提示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预测关闭时按标准Top-k执行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专家Chiplet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本地专家页、Token队列、负载计数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计算专家、接收组播、局部归并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本地满载时把Token映射到其他副本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路由控制Chiplet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转移图、专家目录、信用和遥测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副本选择、预取、路径与版本控制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过载时冻结副本更新并回退静态目录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HBM/PIM Chiplet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完整权重、冷副本、预取缓冲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权重装载、近存冷专家执行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预取失败时按需读取或执行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UCIe/NoP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虚通道、信用、组播树、错误状态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Token散发、权重传输、结果归并</w:t>
            </w:r>
          </w:p>
        </w:tc>
        <w:tc>
          <w:tcPr>
            <w:tcW w:type="dxa" w:w="260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拥塞时限流、改道或撤销低置信预取</w:t>
            </w:r>
          </w:p>
        </w:tc>
      </w:tr>
    </w:tbl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2.2 版本化专家目录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每个专家目录项包含专家标识、层号、权重版本、本地或远端位置、精度格式、剩余租约、当前队列、最近命中和副本状态。目录更新采用“准备—发布—回收”三阶段：新副本先在目标Chiplet完成校验，再原子发布版本；旧副本只在在途Token归并后回收。这样可以避免迁移过程中同一Token读取不同权重版本。对于静态推理权重，版本变化主要来自模型热升级或量化配置切换；对于在线适配专家，还需要更严格的一致性和租户隔离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2.3 两时间尺度控制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专家驻留和Token映射不能使用同一更新时间。副本复制涉及GB级权重和容量置换，应在几十至数百个批次的慢时间尺度上执行；Token到副本映射只涉及KB级激活和队列选择，可逐批甚至逐微批执行。HCRMap同样采用慢驻留与快映射的思想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。CoMoE-Chip在慢环中根据稳定热度、转移图和资源压力选择副本，在快环中依据瞬时队列和路径拥塞决定Token目的地；预取处于二者之间，可由当前层路由事件触发并随置信度撤销。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3 转移引导的专家复用机制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3.1 副本收益与容量约束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设二元变量x_e,c表示专家e是否驻留于Chiplet c，m_e为专家权重大小，M_c为可用容量。对候选副本的预期收益定义为：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G_(e,c) = λ_e p_hit(e,c)(T_remote-T_local) - C_copy - κ C_mem - ξ C_nop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（4）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Σ_e x_(e,c)m_e ≤ M_c,   x_(e,c)∈{0,1}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（5）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其中λ_e是请求强度，p_hit由专家热度和转移图共同估计，C_copy是复制成本，C_mem是挤占其他专家造成的机会成本，C_nop是复制期间对NoP的压力。与只按热度复制不同，若某专家本身不热但总是某个高频前驱的确定后继，其p_hit仍可能很高；反之，全局热点若已在多个邻近Chiplet上驻留，新增副本的边际收益会快速下降。CRAFT以细粒度层级估计避免过度复制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，CoMoE-Chip进一步把跨层转移和NoP压力纳入收益。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3.2 置信度分级预取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当前层路由完成后，控制器查找每个已选专家的下一层转移分布。若最大概率超过θ_h且熵低于H_h，立即把对应后继专家页预取到目标专家Chiplet或内存侧高速缓冲；若概率处于中间区间，则仅预取权重头部、元数据或最可能的两个候选；若熵高，则不执行权重预取，只保留目录和Token路由准备。APEX通过轻量预测路由器提前决定边缘MoE专家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，Beyond Capacity利用早期专家确定隐藏高带宽闪存读取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。CoMoE-Chip强调“可撤销”和“带宽信用”：预取没有足够信用时不发起，错误预取可在低优先级虚通道被抢占。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Prefetch(i→j)=1  iff  P_l(i,j)≥θ_p, H_l(i)≤H_p, Credit_path≥B_j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（6）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3.3 拥塞感知Token到副本映射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模型语义要求每个Token仍执行路由器选择的Top-k专家，因此系统只能在同一专家的多个等价副本之间选择，不得随意替换专家。设z_t,e,c表示Token t的专家e映射到Chiplet c，目标为：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min_z Σ_(t,e,c) z_(t,e,c)[γQ_c+δL_path+ηT_fetch+ζB_c+ωR_tail]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（7）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s.t. Σ_c z_(t,e,c)=1,  z_(t,e,c)≤x_(e,c)+a_(e,c),  e∈S_t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（8）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Q_c是计算队列，L_path是路径占用，T_fetch是所需权重尚未就绪时的等待，B_c是本地内存Bank压力，R_tail是该选择对批次尾延迟的风险；a_e,c表示允许按需装载或在内存Chiplet执行。快环先过滤版本不一致和无信用目标，再对剩余副本进行代价排序。为了避免所有Token同时追逐当前最空闲Chiplet，代价中加入预测完成时间并采用分批信用扣减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540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lgorith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40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图3 转移预测、复用与拥塞感知映射流程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3.4 组播散发与分层归并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同一批次中多个Token可能访问同一专家，控制器先按〈层，专家，版本，目标Chiplet〉聚合，再以组播或批量DMA发送激活。专家输出优先在本地交换节点归并Top-k加权结果，只有聚合后的向量返回Attention Chiplet。对于跨多个Chiplet的同一专家副本，系统按Token分片，不重复执行同一Token。NoP使用至少三类虚通道：高优先级Token/结果、正常权重装载、可抢占预取；信用分别核算，防止GB级权重流阻塞低时延激活。互连网络中的死锁、Head-of-Line阻塞和拓扑热点需要遵循经典虚通道与路由设计原则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[29，34]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3.5 延迟与能耗模型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单层时延由Attention、路由、专家执行和归并的关键路径决定。由于计算、权重预取和Token通信可部分重叠，文章采用：</w:t>
      </w:r>
    </w:p>
    <w:p>
      <w:pPr>
        <w:pStyle w:val="BodyText"/>
        <w:keepNext w:val="0"/>
        <w:keepLines w:val="0"/>
        <w:widowControl/>
        <w:tabs>
          <w:tab w:pos="4252" w:val="center"/>
          <w:tab w:pos="8674" w:val="right"/>
        </w:tabs>
        <w:spacing w:before="0" w:after="0" w:lineRule="exact" w:line="400"/>
        <w:ind w:firstLine="0"/>
        <w:jc w:val="left"/>
      </w:pPr>
      <w:r>
        <w:tab/>
      </w:r>
      <w:r>
        <w:rPr>
          <w:rFonts w:ascii="Cambria Math" w:hAnsi="Cambria Math" w:eastAsia="Cambria Math" w:cs="Cambria Math"/>
          <w:i/>
          <w:color w:val="000000"/>
          <w:sz w:val="21"/>
        </w:rPr>
        <w:t>T_layer = T_attn + T_gate + max(T_dispatch, T_load, T_expert) + T_reduce + T_sync</w:t>
      </w:r>
      <w:r>
        <w:tab/>
      </w:r>
      <w:r>
        <w:rPr>
          <w:rFonts w:ascii="Times New Roman" w:hAnsi="Times New Roman" w:eastAsia="宋体" w:cs="Times New Roman"/>
          <w:color w:val="000000"/>
          <w:sz w:val="21"/>
        </w:rPr>
        <w:t>（9）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T_dispatch由Token字节数、NoP路径和排队决定，T_load由未命中专家权重和有效带宽决定，T_expert由最大副本队列及矩阵利用率决定。层能耗由专家计算、SRAM/HBM/PIM读取、D2D传输和目录控制相加。为了避免用峰值带宽推导过度乐观结果，模型对D2D和HBM使用有效带宽，并对并发权重流加入拥塞折减。Roofline模型可用于判断专家执行是算力、局部带宽还是远端装载受限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[35]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4 合成Trace驱动解析模型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4.1 评价范围与可复现边界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文章使用合成路由Trace和参数化解析模型进行概念验证，不报告流片芯片、FPGA原型或商用GPU实测。Trace生成器使用Zipf分布描述专家热度，并用相关参数ρ控制相邻层保留可预测后继的概率；模型根据每批专家并集、队列不均衡、权重命中、D2D带宽和策略开销计算每层平均时延、P95、Token流量、远端专家装载量、负载均衡度及副本因子。基准数值经过低批量MoE的量级校准，但不能替代真实模型路由Trace、周期级NoP、DRAM时序和物理功耗。后续验证应把DeepSeek或Qwen路由Trace接入BookSim、Ramulator/DRAMSim和Timeloop/Accelergy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[30-32]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r>
        <w:br w:type="page"/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表3 合成Trace与解析模型的基准配置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2435"/>
        <w:gridCol w:w="2435"/>
        <w:gridCol w:w="2435"/>
        <w:gridCol w:w="2435"/>
      </w:tblGrid>
      <w:tr>
        <w:trPr>
          <w:tblHeader w:val="true"/>
          <w:cantSplit/>
        </w:trPr>
        <w:tc>
          <w:tcPr>
            <w:tcW w:type="dxa" w:w="170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226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基准设置</w:t>
            </w:r>
          </w:p>
        </w:tc>
        <w:tc>
          <w:tcPr>
            <w:tcW w:type="dxa" w:w="192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敏感性范围</w:t>
            </w:r>
          </w:p>
        </w:tc>
        <w:tc>
          <w:tcPr>
            <w:tcW w:type="dxa" w:w="283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MoE层与专家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32层，每层64个专家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可扩展至128/256专家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每Token选择Top-2专家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微批Token数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64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16~256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对应低批量交互式解码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专家Chiplet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8个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4~16个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另含Attention、路由和内存Chiplet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专家权重页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 GB/专家（归一）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0.25~2.0 GB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用于容量和装载量核算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专家偏斜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Zipf α=1.1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0.5~2.0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α越高，热点越集中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跨层可预测性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ρ=0.65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0.1~0.9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控制转移图低熵程度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D2D有效带宽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512 GB/s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128~2 048 GB/s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表示聚合后的双向有效带宽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比较策略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静态、热门复制、转移预取、CoMoE-Chip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—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使用同一Trace与容量预算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结果性质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合成Trace驱动解析值</w:t>
            </w:r>
          </w:p>
        </w:tc>
        <w:tc>
          <w:tcPr>
            <w:tcW w:type="dxa" w:w="19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—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不等同于真实硬件测量</w:t>
            </w:r>
          </w:p>
        </w:tc>
      </w:tr>
    </w:tbl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4.2 比较策略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静态映射把每个专家固定在一个Chiplet，Token始终访问归属位置，非驻留权重按需从内存层装载。热门复制根据滑动窗口频率复制少数热点专家，但不使用跨层转移。转移预取使用式（2）预测并提前装载下一层专家，但不做计算队列和NoP压力重映射。CoMoE-Chip同时启用有限复制、分级预取、拥塞感知副本映射、信用和分层归并。四种策略共享相同专家容量预算；副本因子表示额外专家页与原始驻留页之比，不把预取缓冲的短期占用计为永久副本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5 结果与分析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5.1 基准配置结果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表4 基准配置下的体系结构解析结果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1391"/>
        <w:gridCol w:w="1391"/>
        <w:gridCol w:w="1391"/>
        <w:gridCol w:w="1391"/>
        <w:gridCol w:w="1391"/>
        <w:gridCol w:w="1391"/>
        <w:gridCol w:w="1391"/>
      </w:tblGrid>
      <w:tr>
        <w:trPr>
          <w:tblHeader w:val="true"/>
          <w:cantSplit/>
        </w:trPr>
        <w:tc>
          <w:tcPr>
            <w:tcW w:type="dxa" w:w="136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策略</w:t>
            </w:r>
          </w:p>
        </w:tc>
        <w:tc>
          <w:tcPr>
            <w:tcW w:type="dxa" w:w="136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平均时延/ms</w:t>
            </w:r>
          </w:p>
        </w:tc>
        <w:tc>
          <w:tcPr>
            <w:tcW w:type="dxa" w:w="1133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P95/ms</w:t>
            </w:r>
          </w:p>
        </w:tc>
        <w:tc>
          <w:tcPr>
            <w:tcW w:type="dxa" w:w="170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Token流量/(GB/批)</w:t>
            </w:r>
          </w:p>
        </w:tc>
        <w:tc>
          <w:tcPr>
            <w:tcW w:type="dxa" w:w="170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专家装载/(GB/批)</w:t>
            </w:r>
          </w:p>
        </w:tc>
        <w:tc>
          <w:tcPr>
            <w:tcW w:type="dxa" w:w="107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均衡度</w:t>
            </w:r>
          </w:p>
        </w:tc>
        <w:tc>
          <w:tcPr>
            <w:tcW w:type="dxa" w:w="1133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副本因子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静态映射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4.7417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5.1859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1.3419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12.9540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0.5156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热门复制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4.0355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4.4050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1.3458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10.0345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0.5091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1.44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转移预取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2.0671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2.2078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1.3464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1.9765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0.5097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1.12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CoMoE-Chip</w:t>
            </w:r>
          </w:p>
        </w:tc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1.6207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1.7107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1.3153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1.2448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0.8040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1.26</w:t>
            </w:r>
          </w:p>
        </w:tc>
      </w:tr>
    </w:tbl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表4显示，在α=1.1、ρ=0.65和512 GB/s条件下，CoMoE-Chip平均每层时延为1.6207 ms，较静态映射降低65.82%；P95为1.7107 ms，降低67.01%。远端专家装载量由12.9540 GB/批降至1.2448 GB/批，降低90.39%，而永久副本因子为1.26，低于热门复制的1.44。热门复制只把P95降低15.06%左右，且均衡度没有改善，说明复制热点若不结合Token重映射，队列仍集中在少数副本。转移预取显著减少权重装载，却因同一目标Chiplet可能接收多个预测流，均衡度仍接近0.51。CoMoE-Chip的均衡度提高至0.8040，表明快环映射对尾延迟同样关键。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3002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traff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02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图4 不同策略的远端专家装载量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图4把性能差异分解到权重数据移动。静态映射在低批量下难以用多个Token摊销专家页读取；热门复制减少部分热点读取，但冷专家和跨层后继仍频繁装载；转移预取把大部分装载移出关键路径；CoMoE-Chip进一步通过有限副本命中和错误预取抑制减少总装载量。Token流量四种策略相近，因为模型语义仍要求Top-2专家处理，主要收益来自权重不再沿关键路径反复移动，而不是删除必要激活通信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5.2 路由偏斜敏感性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9922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k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2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图5 专家偏斜对每层P95时延的影响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当Zipf系数α由0.5增至2.0时，静态映射P95快速上升，因为热点Chiplet的计算队列和路径流量同时增长；热门复制缓解部分计算热点，但额外副本占用使冷专家装载机会成本增加。转移预取对偏斜较不敏感，但如果预测后继集中在相同物理位置，仍会形成局部拥塞。CoMoE-Chip曲线斜率最低，原因是慢环把稳定热点分散到多个Chiplet，快环再根据瞬时队列选择副本。结果不意味着任意高偏斜均可通过复制解决：当可用容量不足或热集合变化快于迁移周期时，副本抖动会抵消收益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5.3 D2D带宽敏感性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9913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图6 Die-to-Die有效带宽对P95时延的影响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D2D有效带宽从128 GB/s提高到2 048 GB/s时，所有策略时延下降，但收益斜率不同。静态映射最依赖互连，因为权重和Token都沿远端路径传输；热门复制仍需要迁移大副本；CoMoE-Chip通过局部复用降低对峰值带宽的指数，因此在低带宽区间保持更稳定。高带宽端曲线逐渐收敛，说明当D2D不再是瓶颈后，专家计算队列、HBM读取和同步尾延迟成为主导，继续增加链路带宽的边际收益降低。UCIe 3.0提升数据率，但系统仍需要负载与流量整形才能兑现带宽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[28]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5.4 跨层可预测性的作用</w:t>
      </w:r>
    </w:p>
    <w:p>
      <w:pPr>
        <w:pStyle w:val="BodyText"/>
        <w:keepNext/>
        <w:keepLines w:val="0"/>
        <w:widowControl/>
        <w:spacing w:before="0" w:after="0" w:line="240" w:lineRule="auto"/>
        <w:ind w:firstLine="0"/>
        <w:jc w:val="center"/>
      </w:pPr>
      <w:r>
        <w:drawing>
          <wp:inline>
            <wp:extent cx="5472000" cy="299294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rh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图7 跨层转移可预测性对P95时延的影响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ρ由0.1提高到0.9时，静态映射几乎不变，热门复制只有轻微改善，因为两者不直接利用转移图。转移预取的收益最依赖ρ：低可预测性导致候选过多和无效装载，高可预测性则能把权重读取提前。CoMoE-Chip对ρ的敏感度小于纯预取，一方面在低ρ时依靠热点副本和拥塞映射兜底，另一方面在高ρ时利用低熵后继减少远端装载。这说明转移图不应成为单点假设；系统必须在置信度不足时平滑退化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 机制消融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表5使用基准配置，将完整CoMoE-Chip归一为1.00。消融值由同一解析模型按被关闭机制重新计入路径、装载和队列代价，目的是说明方向与耦合，不代表芯片实测加速比。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表5 CoMoE-Chip方向性消融结果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1623"/>
        <w:gridCol w:w="1623"/>
        <w:gridCol w:w="1623"/>
        <w:gridCol w:w="1623"/>
        <w:gridCol w:w="1623"/>
        <w:gridCol w:w="162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配置</w:t>
            </w:r>
          </w:p>
        </w:tc>
        <w:tc>
          <w:tcPr>
            <w:tcW w:type="dxa" w:w="124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P95归一值</w:t>
            </w:r>
          </w:p>
        </w:tc>
        <w:tc>
          <w:tcPr>
            <w:tcW w:type="dxa" w:w="147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专家装载归一值</w:t>
            </w:r>
          </w:p>
        </w:tc>
        <w:tc>
          <w:tcPr>
            <w:tcW w:type="dxa" w:w="107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均衡度</w:t>
            </w:r>
          </w:p>
        </w:tc>
        <w:tc>
          <w:tcPr>
            <w:tcW w:type="dxa" w:w="1133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副本因子</w:t>
            </w:r>
          </w:p>
        </w:tc>
        <w:tc>
          <w:tcPr>
            <w:tcW w:type="dxa" w:w="2891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主要退化原因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完整CoMoE-Chip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0.804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转移、驻留、映射和信用联合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无跨层转移图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1.29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2.14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0.792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1.28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预取退化为全局热度，错误装载增加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无有限副本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2.46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0.744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1.00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热点后继每批重复从内存层读取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无拥塞映射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1.31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1.07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0.541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命中相同但Token集中到热点副本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无信用/优先级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1.18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1.12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0.765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1.26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低置信权重流阻塞Token和结果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单时间尺度更新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1.23</w:t>
            </w:r>
          </w:p>
        </w:tc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1.19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0.711</w:t>
            </w:r>
          </w:p>
        </w:tc>
        <w:tc>
          <w:tcPr>
            <w:tcW w:type="dxa" w:w="1133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1.34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频繁迁移导致副本抖动和目录冲突</w:t>
            </w:r>
          </w:p>
        </w:tc>
      </w:tr>
    </w:tbl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无跨层转移图时，系统仍可复制热点并依据队列映射，但权重装载归一值升至2.14；无拥塞映射时，专家装载几乎不变，P95却升至1.31，表明“权重已经在附近”并不能保证最慢专家及时完成。取消信用后性能退化相对较小，但这只是平均模型；在真实NoP中，长权重包引起的Head-of-Line阻塞可能使P99恶化更明显。单时间尺度更新增加副本因子却降低均衡度，说明迁移频率越高不一定越好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6 硬件开销、可靠性与安全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6.1 控制器和目录开销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转移图不需要保存完整Token序列。对于32层、每层64个专家，若只保留每个节点Top-8后继、16 bit计数和16 bit专家标识，原始边状态约为32×64×8×4 B，即64 KB量级；加上双缓冲、时间戳和置信度仍可控制在数百KB。专家目录规模主要由副本数决定，远小于GB级权重。快环映射可使用并行比较器或小型向量核，慢环副本选择则由固件或管理核执行。真正的成本来自预取缓冲和额外副本容量，而不是转移表本身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6.2 正确性与一致性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CoMoE-Chip不改变门控网络选择的专家，只选择同一专家的等价副本，因此在权重版本和数值格式一致时保持模型语义。预取失败只增加等待，不应改变Top-k结果。目录必须防止三类静默错误：①迁移时读取半更新权重；②量化副本尺度与权重版本不匹配；③旧Token在模型热升级后被错误路由到新版本。系统使用版本号、校验和、在途引用计数和回滚指针解决。若近存冷专家使用不同精度，必须在部署前通过层级误差预算和端到端任务验证，不能把其视为无损副本。</w:t>
      </w:r>
    </w:p>
    <w:p>
      <w:pPr>
        <w:pStyle w:val="Heading2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6.3 多租户隔离与侧信道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专家热点、转移图和队列模式可能泄露租户主题或请求阶段。控制器应按租户或安全域维护统计，限制跨租户副本共享；遥测只暴露聚合压力而非专家标识；释放SRAM和预取缓冲时执行擦除。攻击者还可能构造请求制造热点、挤占副本容量或形成NoP拒绝服务，因此副本预算、预取信用和队列配额需要租户级上限。对共享模型允许权重物理共享，但Token、激活、KV及路由Trace必须保持地址和访问控制隔离。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表6 工程风险及控制措施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2435"/>
        <w:gridCol w:w="2435"/>
        <w:gridCol w:w="2435"/>
        <w:gridCol w:w="243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风险</w:t>
            </w:r>
          </w:p>
        </w:tc>
        <w:tc>
          <w:tcPr>
            <w:tcW w:type="dxa" w:w="226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触发条件</w:t>
            </w:r>
          </w:p>
        </w:tc>
        <w:tc>
          <w:tcPr>
            <w:tcW w:type="dxa" w:w="226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影响</w:t>
            </w:r>
          </w:p>
        </w:tc>
        <w:tc>
          <w:tcPr>
            <w:tcW w:type="dxa" w:w="2891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控制措施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预测漂移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主题变化、模型升级、路由器温度变化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错误预取和副本失效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滑动窗口、熵门限、版本重置和回退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副本抖动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热集合变化快、慢环周期过短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迁移流量、容量碎片和时延波动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租约、迟滞阈值和最小驻留期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NoP拥塞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权重预取与Token突发重叠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P95/P99和死锁风险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虚通道、信用、可抢占预取和路径遥测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目录不一致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热升级、迁移失败或超时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静默数值错误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准备—发布—回收、校验和与回滚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安全侧信道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跨租户共享统计或缓冲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访问模式泄露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安全域统计、配额、擦除和最小化遥测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模型精度变化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近存或副本使用不同低精度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路由语义不变但专家输出偏移</w:t>
            </w:r>
          </w:p>
        </w:tc>
        <w:tc>
          <w:tcPr>
            <w:tcW w:type="dxa" w:w="289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离线误差预算、逐层校验和端到端回归</w:t>
            </w:r>
          </w:p>
        </w:tc>
      </w:tr>
    </w:tbl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7 适用边界与验证路线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该研究有四项明确限制。第一，合成Zipf—Markov Trace不能覆盖真实模型中层间、序列位置、语言域和推理阶段的复杂相关性；需要采集公开MoE模型的匿名路由Trace。第二，解析模型把NoP拥塞压缩为有效带宽与队列项，不能复现包级阻塞、重传、时钟域和热约束；需要BookSim或RTL级验证。第三，结果没有纳入专家数值精度、模型质量和在线负载变化，不能据此宣称真实模型无损。第四，永久副本因子没有转换成具体封装面积和成本，必须结合工艺、SRAM/HBM容量及UCIe PHY进行物理设计。</w:t>
      </w:r>
    </w:p>
    <w:p>
      <w:pPr>
        <w:pStyle w:val="BodyText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宋体" w:cs="Times New Roman"/>
          <w:color w:val="000000"/>
          <w:sz w:val="21"/>
        </w:rPr>
        <w:t>表7 从概念验证到可投稿实证的后续路线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left w:val="nil"/>
          <w:right w:val="nil"/>
          <w:insideH w:val="nil"/>
          <w:insideV w:val="nil"/>
          <w:top w:val="single" w:sz="8" w:space="0" w:color="000000"/>
          <w:bottom w:val="single" w:sz="8" w:space="0" w:color="000000"/>
        </w:tblBorders>
      </w:tblPr>
      <w:tblGrid>
        <w:gridCol w:w="2435"/>
        <w:gridCol w:w="2435"/>
        <w:gridCol w:w="2435"/>
        <w:gridCol w:w="2435"/>
      </w:tblGrid>
      <w:tr>
        <w:trPr>
          <w:tblHeader w:val="true"/>
          <w:cantSplit/>
        </w:trPr>
        <w:tc>
          <w:tcPr>
            <w:tcW w:type="dxa" w:w="1360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283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需要补充的证据</w:t>
            </w:r>
          </w:p>
        </w:tc>
        <w:tc>
          <w:tcPr>
            <w:tcW w:type="dxa" w:w="2267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主要工具或平台</w:t>
            </w:r>
          </w:p>
        </w:tc>
        <w:tc>
          <w:tcPr>
            <w:tcW w:type="dxa" w:w="2494"/>
            <w:vAlign w:val="center"/>
            <w:shd w:fill="F7F7F7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7"/>
              </w:rPr>
              <w:t>通过标准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真实Trace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各层专家频率、转移熵、共激活和阶段漂移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DeepSeek/Qwen开源模型与推理运行时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多数据集、不同批量和上下文具有稳定规律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系统仿真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包级NoP、HBM/PIM、计算队列与预取并发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BookSim、Ramulator 2.0、Timeloop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P95/P99、带宽和能耗对基线仍有收益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原型实现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目录、信用、组播和副本运行时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FPGA或多GPU模拟Chiplet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保持Top-k语义并可回滚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物理评估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面积、频率、PHY、封装、温度和功耗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RTL综合、Accelergy及封装模型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控制开销不吞噬数据移动收益</w:t>
            </w:r>
          </w:p>
        </w:tc>
      </w:tr>
      <w:tr>
        <w:trPr>
          <w:cantSplit/>
        </w:trPr>
        <w:tc>
          <w:tcPr>
            <w:tcW w:type="dxa" w:w="136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应用验证</w:t>
            </w:r>
          </w:p>
        </w:tc>
        <w:tc>
          <w:tcPr>
            <w:tcW w:type="dxa" w:w="283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质量、稳定性、多租户与故障注入</w:t>
            </w:r>
          </w:p>
        </w:tc>
        <w:tc>
          <w:tcPr>
            <w:tcW w:type="dxa" w:w="226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代码、数学、检索和智能体任务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 w:cs="Times New Roman"/>
                <w:color w:val="000000"/>
                <w:sz w:val="17"/>
              </w:rPr>
              <w:t>任务正确率不显著下降，故障可恢复</w:t>
            </w:r>
          </w:p>
        </w:tc>
      </w:tr>
    </w:tbl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验证时应至少包含三类对照：以MoETuner/CRAFT代表放置与复制，以Expert Streaming/HCRMap代表Chiplet轨迹和压力感知，以Sieve/ThAME/ReXpert代表PIM、3D内存及近存专家池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[15-23]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此外，需要报告相同模型、相同权重容量、相同带宽和相同SLO下的结果，避免通过增加副本或放宽尾延迟获得表面加速。对于面向推理服务的版本，还应把请求级、引擎级和专家级调度联合评估，相关多层调度研究表明只优化单层可能留下新的队头阻塞</w:t>
      </w:r>
      <w:r>
        <w:rPr>
          <w:rFonts w:ascii="Times New Roman" w:hAnsi="Times New Roman" w:eastAsia="宋体" w:cs="Times New Roman"/>
          <w:color w:val="000000"/>
          <w:sz w:val="18"/>
          <w:vertAlign w:val="superscript"/>
        </w:rPr>
        <w:t>[36]</w:t>
      </w: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8 结  论</w:t>
      </w:r>
    </w:p>
    <w:p>
      <w:pPr>
        <w:keepNext w:val="0"/>
        <w:keepLines w:val="0"/>
        <w:widowControl/>
        <w:spacing w:before="0" w:after="0" w:lineRule="exact" w:line="40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MoE把稠密参数计算转化为输入相关的专家选择，却把系统瓶颈转移到权重驻留、Token散集、队列不均衡和同步尾延迟。文章提出CoMoE-Chip，在Attention、专家、路由控制和HBM/PIM Chiplet之间建立版本化专家目录，以跨层转移图评估下一层复用，并在两时间尺度上联合执行有限副本、置信度预取、拥塞感知Token映射、信用控制和分层归并。合成Trace驱动解析结果显示，基准配置下平均每层时延、P95和远端专家装载量相较静态映射分别降低65.82%、67.01%和90.39%，同时以1.26的副本因子把负载均衡度提高到0.804。该结果证明了机制耦合的潜力，但不是流片或周期级实测。文章的核心结论是：未来MoE Chiplet不应把专家视为静态权重块，而应把〈专家、后继、版本、副本、路径和队列〉视为可预测且可控制的执行状态。后续工作需以真实路由Trace、包级互连、内存时序和物理功耗完成验证。</w:t>
      </w:r>
    </w:p>
    <w:p>
      <w:pPr>
        <w:pStyle w:val="Heading1"/>
        <w:keepNext/>
        <w:keepLines w:val="0"/>
        <w:widowControl/>
        <w:spacing w:before="0" w:after="0" w:lineRule="exact" w:line="400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4"/>
        </w:rPr>
        <w:t>参考文献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[1] VASWANI A, SHAZEER N, PARMAR N, et al. Attention is all you need[C]//Advances in Neural Information Processing Systems. Long Beach: Curran Associates, 2017, 30: 5998-6008.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[2] SHAZEER N, MIRHOSEINI A, MAZIARZ K, et al. Outrageously large neural networks: the sparsely-gated mixture-of-experts layer[C]//International Conference on Learning Representations. Toulon: OpenReview, 2017.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[3] LEPIKHIN D, LEE H, XU Y, et al. GShard: scaling giant models with conditional computation and automatic sharding[C]//International Conference on Learning Representations. Virtual: OpenReview, 2021.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[4] FEDUS W, ZOPH B, SHAZEER N. Switch transformers: scaling to trillion parameter models with simple and efficient sparsity[J]. Journal of Machine Learning Research, 2022, 23(120): 1-39.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[5] DU N, HUANG Y, DAI A M, et al. GLaM: efficient scaling of language models with mixture-of-experts[C]//International Conference on Machine Learning. Baltimore: PMLR, 2022, 162: 5547-5569.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[6] ZOPH B, BELLO I, KUMAR S, et al. ST-MoE: designing stable and transferable sparse expert models[EB/OL]. arXiv:2202.08906, 2022[2026-09-03]. https://arxiv.org/abs/2202.08906.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[7] DAI D, DENG C, ZHAO C, et al. DeepSeekMoE: towards ultimate expert specialization in mixture-of-experts language models[C]//Proceedings of the 62nd Annual Meeting of the Association for Computational Linguistics. Bangkok: Association for Computational Linguistics, 2024: 1280-1297.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[8] DEEPSEEK-AI. DeepSeek-V3 technical report[EB/OL]. arXiv:2412.19437, 2024[2026-09-03]. https://arxiv.org/abs/2412.19437.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[9] DEEPSEEK-AI. DeepSeek-R1: incentivizing reasoning capability in LLMs via reinforcement learning[EB/OL]. arXiv:2501.12948, 2025[2026-09-03]. https://arxiv.org/abs/2501.12948.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[10] YANG A, LI A, YANG B, et al. Qwen3 technical report[EB/OL]. arXiv:2505.09388, 2025[2026-09-03]. https://arxiv.org/abs/2505.09388.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[11] HWANG C, CUI W, XIONG Y, et al. Tutel: adaptive mixture-of-experts at scale[C]//Proceedings of Machine Learning and Systems. Miami: MLSys, 2023, 5: 269-287.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[12] GALE T, NARAYANAN D, YOUNG C, et al. MegaBlocks: efficient sparse training with mixture-of-experts[C]//Proceedings of Machine Learning and Systems. Miami: MLSys, 2023, 5: 288-304.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[13] RAJBHANDARI S, RASLEY J, RUWASE O, et al. DeepSpeed-MoE: advancing mixture-of-experts inference and training to power next-generation AI scale[C]//International Conference on Machine Learning. Baltimore: PMLR, 2022, 162: 18332-18346.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[14] LI J, JIANG Y, ZHU Y, et al. Accelerating distributed MoE training and inference with Lina[C]//2023 USENIX Annual Technical Conference. Boston: USENIX Association, 2023: 945-959.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[15] GO S, MAHAJAN D. MoETuner: optimized mixture of expert serving with balanced expert placement and token routing[EB/OL]. arXiv:2502.06643, 2025[2026-09-03]. https://arxiv.org/abs/2502.06643.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[16] ZHAO A, CAI Z, SONG Z, et al. CRAFT: cost-aware expert replica allocation with fine-grained layerwise estimations[EB/OL]. arXiv:2603.28768, 2026[2026-09-03]. https://arxiv.org/abs/2603.28768.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[17] MA S, LI H, ZHANG W, et al. Expert streaming: accelerating low-batch MoE inference via multi-chiplet architecture and dynamic expert trajectory scheduling[EB/OL]. arXiv:2603.27624, 2026[2026-09-03]. https://arxiv.org/abs/2603.27624.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[18] ZHANG Y. HCRMap: pressure-aware hot-expert residency mapping for 3.5D MoE chiplet inference[EB/OL]. arXiv:2607.11586, 2026[2026-09-03]. https://arxiv.org/abs/2607.11586.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[19] TANG X, HOU J, JIANG D, et al. MoEntwine: unleashing the potential of wafer-scale chips for large-scale expert parallel inference[EB/OL]. arXiv:2510.25258, 2025[2026-09-03]. https://arxiv.org/abs/2510.25258.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[20] LUO S, YE H, LI P, et al. Mozart: modularized and efficient MoE training on 3.5D wafer-scale chiplet architectures[EB/OL]. arXiv:2603.07006, 2026[2026-09-03]. https://arxiv.org/abs/2603.07006.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[21] DHINGRA P, PAL P K, DOPPA J R, et al. ThAME: 3D memory-enabled heterogeneous accelerator for LLM mixture of experts[EB/OL]. arXiv:2607.17074, 2026[2026-09-03]. https://arxiv.org/abs/2607.17074.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[22] KIM J, LACOUTURE R, ZHANG G, et al. Sieve: dynamic expert-aware PIM acceleration for evolving mixture-of-experts models[EB/OL]. arXiv:2605.11277, 2026[2026-09-03]. https://arxiv.org/abs/2605.11277.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[23] SHAO K, ZENG M, YUAN X, et al. MoE expert execution in disaggregated LLM serving with a high-bandwidth ReRAM near-memory architecture[EB/OL]. arXiv:2608.13962, 2026[2026-09-03]. https://arxiv.org/abs/2608.13962.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[24] KANANI A, BADAWI L, OGRAS U Y. APEX: adaptive expert prefetching for memory-efficient edge MoE inference[EB/OL]. arXiv:2608.11688, 2026[2026-09-03]. https://arxiv.org/abs/2608.11688.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[25] KIM S, JIN J, KIM J Y. Beyond capacity: scalable MoE LLM inference via high-bandwidth flash with direct GPU and HBM paths[EB/OL]. arXiv:2608.14333, 2026[2026-09-03]. https://arxiv.org/abs/2608.14333.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[26] WU Q, FANG C, CHEN J, et al. A scheduling framework for efficient MoE inference on edge GPU-NDP systems[EB/OL]. arXiv:2601.03992, 2026[2026-09-03]. https://arxiv.org/abs/2601.03992.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t>[27] FAN Z, LIU L. Context-Aware Mixture-of-Experts Inference on CXL-Enabled GPU-NDP Systems[EB/OL]. arXiv:2512.04476, 2025[2026-09-03]. https://arxiv.org/abs/2512.04476.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[28] UNIVERSAL CHIPLET INTERCONNECT EXPRESS CONSORTIUM. UCIe specification revision 3.0[S/OL]. Beaverton: UCIe Consortium, 2025[2026-09-03].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[29] DALLY W J, TOWLES B. Principles and practices of interconnection networks[M]. San Francisco: Morgan Kaufmann, 2004.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[30] JIANG N, BECKER D U, MICHELOGIANNAKIS G, et al. A detailed and flexible cycle-accurate network-on-chip simulator[C]//IEEE International Symposium on Performance Analysis of Systems and Software. Austin: IEEE, 2013: 86-96.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[31] PARASHAR A, RAINA P, SHA A, et al. Timeloop: a systematic approach to DNN accelerator evaluation[C]//IEEE International Symposium on Performance Analysis of Systems and Software. Madison: IEEE, 2019: 304-315.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[32] WU Y N, EMER J S, SZE V. Accelergy: an architecture-level energy estimation methodology for accelerator designs[C]//IEEE/ACM International Conference on Computer-Aided Design. Westminster: IEEE, 2019: 1-8.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[33] JOUUPPI N P, YOUNG C, PATIL N, et al. In-datacenter performance analysis of a tensor processing unit[C]//ACM/IEEE 44th Annual International Symposium on Computer Architecture. Toronto: ACM, 2017: 1-12.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[34] KIM J, DALLY W J, SCOTT S, et al. Technology-driven, highly-scalable dragonfly topology[C]//ACM/IEEE 35th Annual International Symposium on Computer Architecture. Beijing: IEEE, 2008: 77-88.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[35] WILLIAMS S, WATERMAN A, PATTERSON D. Roofline: an insightful visual performance model for multicore architectures[J]. Communications of the ACM, 2009, 52(4): 65-76.</w:t>
      </w:r>
    </w:p>
    <w:p>
      <w:pPr>
        <w:pStyle w:val="BodyText"/>
        <w:keepNext w:val="0"/>
        <w:keepLines w:val="0"/>
        <w:widowControl/>
        <w:spacing w:before="0" w:after="0" w:line="240" w:lineRule="auto"/>
        <w:ind w:left="360" w:hanging="360"/>
        <w:jc w:val="both"/>
      </w:pPr>
      <w:r>
        <w:rPr>
          <w:rFonts w:ascii="Times New Roman" w:hAnsi="Times New Roman" w:eastAsia="宋体" w:cs="Times New Roman"/>
          <w:color w:val="000000"/>
          <w:sz w:val="18"/>
        </w:rPr>
        <w:t>[36] SUN Y, HAFFAR G, XU M, et al. Multi-layer scheduling for MoE-based LLM reasoning[EB/OL]. arXiv:2602.21626, 2026[2026-09-03]. https://arxiv.org/abs/2602.21626.</w:t>
      </w:r>
    </w:p>
    <w:p>
      <w:pPr>
        <w:pStyle w:val="BodyText"/>
        <w:keepNext/>
        <w:keepLines w:val="0"/>
        <w:pageBreakBefore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A chiplet architecture for expert reuse in MoE inference</w:t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i/>
          <w:color w:val="000000"/>
          <w:sz w:val="21"/>
        </w:rPr>
        <w:t>ZHANG Moumou¹, LI Moumou², WANG Moumou¹</w:t>
      </w:r>
    </w:p>
    <w:p>
      <w:pPr>
        <w:pStyle w:val="BodyText"/>
        <w:keepNext/>
        <w:keepLines w:val="0"/>
        <w:widowControl/>
        <w:spacing w:before="0" w:after="0" w:line="360" w:lineRule="auto"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sz w:val="18"/>
        </w:rPr>
        <w:t>(1. School of Computer Science and Technology, A University, Beijing 100000, China; 2. Intelligent Computing Center, A Research Institute, Shanghai 200000, China)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>Abstract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Mixture-of-experts (MoE) models scale parameter capacity through sparse activation, but input-dependent top-k routing creates expert hot spots, random weight fetches, scatter-gather traffic, and synchronization tails in chiplet systems. This paper presents CoMoE-Chip, an expert-reuse architecture that couples a versioned expert directory with inter-layer transition graphs, bounded replication, confidence-gated prefetching, congestion-aware token-to-replica mapping, credit control, and hierarchical reduction across attention, expert, routing-control, and HBM/PIM chiplets. The transition graph estimates conditional successor probabilities and entropy, enabling deterministic prefetch only when prediction confidence and path credits are sufficient. A synthetic trace-driven analytical model uses 64 experts, top-2 routing, eight expert chiplets, a Zipf skew of 1.1, inter-layer predictability of 0.65, and 512 GB/s effective die-to-die bandwidth. CoMoE-Chip reduces mean per-layer latency from 4.742 ms to 1.621 ms and P95 latency from 5.186 ms to 1.711 ms relative to static mapping, corresponding to reductions of 65.82% and 67.01%. Remote expert loading decreases from 12.954 GB to 1.245 GB per batch, a 90.39% reduction, while load-balance score increases from 0.516 to 0.804 with a replica factor of 1.26. These values are analytical, not silicon measurements. The results indicate that MoE chiplet efficiency requires a closed loop across routing transitions, physical residency, network pressure, and tail latency rather than replication alone.</w:t>
      </w:r>
    </w:p>
    <w:p>
      <w:pPr>
        <w:pStyle w:val="BodyText"/>
        <w:keepNext w:val="0"/>
        <w:keepLines w:val="0"/>
        <w:widowControl/>
        <w:spacing w:before="0" w:after="0" w:lineRule="exact" w:line="400"/>
        <w:ind w:firstLine="0"/>
        <w:jc w:val="both"/>
      </w:pPr>
      <w:r>
        <w:rPr>
          <w:rFonts w:ascii="Times New Roman" w:hAnsi="Times New Roman" w:eastAsia="Times New Roman" w:cs="Times New Roman"/>
          <w:b/>
          <w:color w:val="000000"/>
          <w:sz w:val="18"/>
        </w:rPr>
        <w:t>Key words</w:t>
      </w:r>
      <w:r>
        <w:rPr>
          <w:rFonts w:ascii="Times New Roman" w:hAnsi="Times New Roman" w:eastAsia="Times New Roman" w:cs="Times New Roman"/>
          <w:color w:val="000000"/>
          <w:sz w:val="18"/>
        </w:rPr>
        <w:t xml:space="preserve"> mixture of experts; chiplet; expert reuse; inter-layer routing; congestion-aware scheduling; near-memory computing</w:t>
      </w:r>
    </w:p>
    <w:p/>
    <w:p>
      <w:pPr>
        <w:jc w:val="left"/>
      </w:pPr>
      <w:r>
        <w:rPr>
          <w:b/>
          <w:sz w:val="24"/>
        </w:rPr>
        <w:t>附录A 数据可核验性与修订说明</w:t>
      </w:r>
    </w:p>
    <w:p>
      <w:pPr>
        <w:pStyle w:val="Normal"/>
      </w:pPr>
      <w:r>
        <w:t>附录A 数据可核验性说明与复现材料</w:t>
      </w:r>
    </w:p>
    <w:p>
      <w:pPr>
        <w:pStyle w:val="Normal"/>
      </w:pPr>
      <w:r>
        <w:t>本文结果来自合成MoE路由Trace与解析模型，不等同于流片芯片、FPGA原型或商用GPU实测。修订版已补充复现脚本 comoe_chip_sim.py，并统一标注“合成Trace驱动解析值”。</w:t>
      </w:r>
    </w:p>
    <w:p>
      <w:pPr>
        <w:pStyle w:val="Normal"/>
      </w:pPr>
      <w:r>
        <w:t>【数据分级标注】External：公开论文与标准规格；Simulated：合成Trace；Analytical：解析时延/带宽模型。</w:t>
      </w:r>
    </w:p>
    <w:p>
      <w:pPr>
        <w:pStyle w:val="Normal"/>
      </w:pPr>
      <w:r>
        <w:t>【真实实验补强建议】正式投稿前，建议接入真实MoE路由Trace，并结合BookSim/Ramulator/Timeloop-Accelergy做更严格的体系结构仿真。</w:t>
      </w:r>
    </w:p>
    <w:sectPr>
      <w:footerReference r:id="rId9" w:type="default"/>
      <w:footnotePr>
        <w:numFmt w:val="decimal"/>
      </w:footnotePr>
      <w:type w:val="nextPage"/>
      <w:pgSz w:h="16838" w:w="11906"/>
      <w:pgMar w:bottom="1440" w:footer="992" w:gutter="0" w:header="0" w:left="1083" w:right="1083" w:top="1440"/>
      <w:pgNumType w:fmt="decimal"/>
      <w:formProt w:val="false"/>
      <w:textDirection w:val="lrTb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宋体">
    <w:altName w:val="汉仪书宋二KW"/>
    <w:charset w:val="86"/>
    <w:family w:val="auto"/>
    <w:pitch w:val="default"/>
  </w:font>
  <w:font w:name="黑体">
    <w:altName w:val="汉仪中黑KW"/>
    <w:charset w:val="00"/>
    <w:family w:val="auto"/>
    <w:pitch w:val="default"/>
  </w:font>
  <w:font w:name="Arial">
    <w:charset w:val="00"/>
    <w:family w:val="swiss"/>
    <w:pitch w:val="default"/>
  </w:font>
  <w:font w:name="Wingdings">
    <w:charset w:val="00"/>
    <w:family w:val="auto"/>
    <w:pitch w:val="default"/>
  </w:font>
  <w:font w:name="Calibri">
    <w:altName w:val="Helvetica Neue"/>
    <w:charset w:val="00"/>
    <w:family w:val="swiss"/>
    <w:pitch w:val="default"/>
  </w:font>
  <w:font w:name="Times New Roman">
    <w:charset w:val="00"/>
    <w:family w:val="roman"/>
    <w:pitch w:val="default"/>
  </w:font>
  <w:font w:name="Lucida Sans Unicode">
    <w:altName w:val="苹方-简"/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Symbol">
    <w:altName w:val="Kingsoft Sign"/>
    <w:charset w:val="00"/>
    <w:family w:val="roman"/>
    <w:pitch w:val="default"/>
  </w:font>
  <w:font w:name="Verdana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 w:line="240" w:lineRule="auto"/>
      <w:ind w:right="142"/>
      <w:jc w:val="right"/>
      <w:rPr/>
    </w:pPr>
    <w:r>
      <w:rPr>
        <w:rFonts w:ascii="Times New Roman" w:hAnsi="Times New Roman"/>
        <w:sz w:val="18"/>
      </w:rPr>
      <w:fldChar w:fldCharType="begin"/>
    </w:r>
    <w:r>
      <w:rPr>
        <w:rFonts w:ascii="Times New Roman" w:hAnsi="Times New Roman"/>
        <w:sz w:val="18"/>
      </w:rPr>
      <w:instrText xml:space="preserve"> PAGE </w:instrText>
    </w:r>
    <w:r>
      <w:rPr>
        <w:rFonts w:ascii="Times New Roman" w:hAnsi="Times New Roman"/>
        <w:sz w:val="18"/>
      </w:rP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  <w:spacing w:line="240" w:lineRule="auto" w:before="0" w:after="0"/>
      </w:pPr>
      <w:r>
        <w:rPr>
          <w:rFonts w:ascii="Times New Roman" w:hAnsi="Times New Roman" w:cs="Times New Roman" w:eastAsia="宋体"/>
          <w:rStyle w:val="FootnoteReference"/>
          <w:sz w:val="16"/>
          <w:szCs w:val="16"/>
        </w:rPr>
        <w:footnoteRef/>
      </w:r>
      <w:r>
        <w:rPr>
          <w:rFonts w:ascii="Times New Roman" w:hAnsi="Times New Roman" w:eastAsia="宋体"/>
          <w:sz w:val="16"/>
        </w:rPr>
        <w:t xml:space="preserve"> 作者简介：张某某，博士，副教授，主要研究方向为大模型体系结构、Chiplet与异构计算。E-mail：xxxxxxxx@xxxx.edu.cn。通信作者：王某某，博士，教授，主要研究方向为智能计算芯片与片上互连。E-mail：xxxxxxxx@xxxx.edu.cn。基金项目：国家自然科学基金项目“面向稀疏大模型推理的Chiplet专家复用与互连协同研究”（批准号：xxxxxxxx）。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hanging="0" w:left="0"/>
      </w:pPr>
    </w:lvl>
  </w:abstractNum>
  <w:abstractNum w:abstractNumId="2">
    <w:lvl w:ilvl="0">
      <w:start w:val="1"/>
      <w:numFmt w:val="bullet"/>
      <w:lvlText w:val=""/>
      <w:lvlJc w:val="left"/>
      <w:pPr>
        <w:tabs>
          <w:tab w:pos="0" w:val="num"/>
        </w:tabs>
        <w:ind w:hanging="420" w:left="420"/>
      </w:pPr>
      <w:rPr>
        <w:rFonts w:ascii="Wingdings" w:cs="Wingdings" w:hAnsi="Wingdings" w:hint="default"/>
      </w:rPr>
    </w:lvl>
    <w:lvl w:ilvl="1">
      <w:start w:val="1"/>
      <w:numFmt w:val="bullet"/>
      <w:lvlText w:val=""/>
      <w:lvlJc w:val="left"/>
      <w:pPr>
        <w:tabs>
          <w:tab w:pos="0" w:val="num"/>
        </w:tabs>
        <w:ind w:hanging="420" w:left="840"/>
      </w:pPr>
      <w:rPr>
        <w:rFonts w:ascii="Wingdings" w:cs="Wingdings" w:hAnsi="Wingdings" w:hint="default"/>
      </w:rPr>
    </w:lvl>
    <w:lvl w:ilvl="2">
      <w:start w:val="1"/>
      <w:numFmt w:val="bullet"/>
      <w:lvlText w:val=""/>
      <w:lvlJc w:val="left"/>
      <w:pPr>
        <w:tabs>
          <w:tab w:pos="0" w:val="num"/>
        </w:tabs>
        <w:ind w:hanging="420" w:left="1260"/>
      </w:pPr>
      <w:rPr>
        <w:rFonts w:ascii="Wingdings" w:cs="Wingdings" w:hAnsi="Wingdings" w:hint="default"/>
      </w:rPr>
    </w:lvl>
    <w:lvl w:ilvl="3">
      <w:start w:val="1"/>
      <w:numFmt w:val="bullet"/>
      <w:lvlText w:val=""/>
      <w:lvlJc w:val="left"/>
      <w:pPr>
        <w:tabs>
          <w:tab w:pos="0" w:val="num"/>
        </w:tabs>
        <w:ind w:hanging="420" w:left="1680"/>
      </w:pPr>
      <w:rPr>
        <w:rFonts w:ascii="Wingdings" w:cs="Wingdings" w:hAnsi="Wingdings" w:hint="default"/>
      </w:rPr>
    </w:lvl>
    <w:lvl w:ilvl="4">
      <w:start w:val="1"/>
      <w:numFmt w:val="bullet"/>
      <w:lvlText w:val=""/>
      <w:lvlJc w:val="left"/>
      <w:pPr>
        <w:tabs>
          <w:tab w:pos="0" w:val="num"/>
        </w:tabs>
        <w:ind w:hanging="420" w:left="2100"/>
      </w:pPr>
      <w:rPr>
        <w:rFonts w:ascii="Wingdings" w:cs="Wingdings" w:hAnsi="Wingdings" w:hint="default"/>
      </w:rPr>
    </w:lvl>
    <w:lvl w:ilvl="5">
      <w:start w:val="1"/>
      <w:numFmt w:val="bullet"/>
      <w:lvlText w:val=""/>
      <w:lvlJc w:val="left"/>
      <w:pPr>
        <w:tabs>
          <w:tab w:pos="0" w:val="num"/>
        </w:tabs>
        <w:ind w:hanging="420" w:left="2520"/>
      </w:pPr>
      <w:rPr>
        <w:rFonts w:ascii="Wingdings" w:cs="Wingdings" w:hAnsi="Wingdings" w:hint="default"/>
      </w:rPr>
    </w:lvl>
    <w:lvl w:ilvl="6">
      <w:start w:val="1"/>
      <w:numFmt w:val="bullet"/>
      <w:lvlText w:val=""/>
      <w:lvlJc w:val="left"/>
      <w:pPr>
        <w:tabs>
          <w:tab w:pos="0" w:val="num"/>
        </w:tabs>
        <w:ind w:hanging="420" w:left="2940"/>
      </w:pPr>
      <w:rPr>
        <w:rFonts w:ascii="Wingdings" w:cs="Wingdings" w:hAnsi="Wingdings" w:hint="default"/>
      </w:rPr>
    </w:lvl>
    <w:lvl w:ilvl="7">
      <w:start w:val="1"/>
      <w:numFmt w:val="bullet"/>
      <w:lvlText w:val=""/>
      <w:lvlJc w:val="left"/>
      <w:pPr>
        <w:tabs>
          <w:tab w:pos="0" w:val="num"/>
        </w:tabs>
        <w:ind w:hanging="420" w:left="3360"/>
      </w:pPr>
      <w:rPr>
        <w:rFonts w:ascii="Wingdings" w:cs="Wingdings" w:hAnsi="Wingdings" w:hint="default"/>
      </w:rPr>
    </w:lvl>
    <w:lvl w:ilvl="8">
      <w:start w:val="1"/>
      <w:numFmt w:val="bullet"/>
      <w:lvlText w:val=""/>
      <w:lvlJc w:val="left"/>
      <w:pPr>
        <w:tabs>
          <w:tab w:pos="0" w:val="num"/>
        </w:tabs>
        <w:ind w:hanging="420" w:left="3780"/>
      </w:pPr>
      <w:rPr>
        <w:rFonts w:ascii="Wingdings" w:cs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2"/>
  <w:embedSystemFonts/>
  <w:proofState w:grammar="clean" w:spelling="clean"/>
  <w:stylePaneFormatFilter w:val="0004"/>
  <w:trackRevisions/>
  <w:doNotTrackMoves/>
  <w:defaultTabStop w:val="709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Fmt w:val="decimal"/>
    <w:footnote w:id="0"/>
    <w:footnote w:id="1"/>
  </w:footnotePr>
  <w:compat>
    <w:doNotExpandShiftReturn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ohit Devanagari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  <w:spacing w:lineRule="exact" w:line="400" w:before="0" w:after="0"/>
    </w:pPr>
    <w:rPr>
      <w:rFonts w:ascii="Times New Roman" w:cs="宋体;汉仪书宋二KW" w:eastAsia="宋体" w:hAnsi="Times New Roman"/>
      <w:color w:val="auto"/>
      <w:sz w:val="21"/>
      <w:szCs w:val="24"/>
      <w:lang w:bidi="ar-SA" w:eastAsia="zh-CN" w:val="en-U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eastAsia="黑体"/>
      <w:b/>
      <w:sz w:val="24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Times New Roman" w:eastAsia="黑体" w:hAnsi="Times New Roman"/>
      <w:b w:val="0"/>
      <w:kern w:val="2"/>
      <w:sz w:val="21"/>
      <w:szCs w:val="32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ascii="黑体;汉仪中黑KW" w:eastAsia="黑体;汉仪中黑KW" w:hAnsi="黑体;汉仪中黑KW"/>
      <w:sz w:val="28"/>
      <w:szCs w:val="28"/>
    </w:rPr>
  </w:style>
  <w:style w:styleId="Heading4" w:type="paragraph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after="290" w:before="280" w:line="374" w:lineRule="auto"/>
      <w:outlineLvl w:val="3"/>
    </w:pPr>
    <w:rPr>
      <w:rFonts w:ascii="Arial" w:cs="Arial" w:eastAsia="黑体;汉仪中黑KW" w:hAnsi="Arial"/>
      <w:b/>
      <w:bCs/>
      <w:sz w:val="28"/>
      <w:szCs w:val="28"/>
    </w:rPr>
  </w:style>
  <w:style w:styleId="Heading5" w:type="paragraph">
    <w:name w:val="heading 5"/>
    <w:basedOn w:val="Normal"/>
    <w:next w:val="BodyText"/>
    <w:qFormat/>
    <w:pPr>
      <w:numPr>
        <w:ilvl w:val="4"/>
        <w:numId w:val="1"/>
      </w:numPr>
      <w:outlineLvl w:val="4"/>
    </w:pPr>
    <w:rPr>
      <w:b/>
      <w:bCs/>
      <w:color w:val="000000"/>
      <w:sz w:val="20"/>
      <w:szCs w:val="20"/>
    </w:rPr>
  </w:style>
  <w:style w:styleId="WW8Num1z0" w:type="character">
    <w:name w:val="WW8Num1z0"/>
    <w:qFormat/>
    <w:rPr>
      <w:rFonts w:ascii="Wingdings" w:cs="Wingdings" w:hAnsi="Wingdings"/>
    </w:rPr>
  </w:style>
  <w:style w:styleId="Style9" w:type="character">
    <w:name w:val="默认段落字体"/>
    <w:qFormat/>
    <w:rPr/>
  </w:style>
  <w:style w:styleId="Style10" w:type="character">
    <w:name w:val="批注文字 字符"/>
    <w:qFormat/>
    <w:rPr>
      <w:rFonts w:ascii="Calibri;Helvetica Neue" w:cs="Calibri;Helvetica Neue" w:eastAsia="宋体;汉仪书宋二KW" w:hAnsi="Calibri;Helvetica Neue"/>
      <w:kern w:val="2"/>
      <w:sz w:val="21"/>
      <w:szCs w:val="21"/>
      <w:lang w:bidi="ar-SA" w:eastAsia="zh-CN" w:val="en-US"/>
    </w:rPr>
  </w:style>
  <w:style w:styleId="Style11" w:type="character">
    <w:name w:val="纯文本 字符"/>
    <w:qFormat/>
    <w:rPr>
      <w:rFonts w:ascii="宋体;汉仪书宋二KW" w:cs="宋体;汉仪书宋二KW" w:hAnsi="宋体;汉仪书宋二KW"/>
      <w:sz w:val="24"/>
      <w:szCs w:val="21"/>
    </w:rPr>
  </w:style>
  <w:style w:styleId="Style12" w:type="character">
    <w:name w:val="脚注文本 字符"/>
    <w:qFormat/>
    <w:rPr>
      <w:rFonts w:eastAsia="宋体;汉仪书宋二KW"/>
      <w:kern w:val="2"/>
      <w:sz w:val="18"/>
      <w:szCs w:val="18"/>
      <w:lang w:bidi="ar-SA" w:eastAsia="zh-CN" w:val="en-US"/>
    </w:rPr>
  </w:style>
  <w:style w:styleId="Style13" w:type="character">
    <w:name w:val="批注主题 字符"/>
    <w:qFormat/>
    <w:rPr>
      <w:rFonts w:ascii="宋体;汉仪书宋二KW" w:cs="宋体;汉仪书宋二KW" w:eastAsia="宋体;汉仪书宋二KW" w:hAnsi="宋体;汉仪书宋二KW"/>
      <w:b/>
      <w:bCs/>
      <w:kern w:val="2"/>
      <w:sz w:val="24"/>
      <w:szCs w:val="24"/>
      <w:lang w:bidi="ar-SA" w:eastAsia="zh-CN" w:val="en-US"/>
    </w:rPr>
  </w:style>
  <w:style w:styleId="Strong" w:type="character">
    <w:name w:val="Strong"/>
    <w:qFormat/>
    <w:rPr>
      <w:b/>
      <w:bCs/>
    </w:rPr>
  </w:style>
  <w:style w:styleId="PageNumber" w:type="character">
    <w:name w:val="page number"/>
    <w:basedOn w:val="Style9"/>
    <w:rPr/>
  </w:style>
  <w:style w:styleId="FollowedHyperlink" w:type="character">
    <w:name w:val="FollowedHyperlink"/>
    <w:rPr>
      <w:color w:val="800080"/>
      <w:u w:val="single"/>
    </w:rPr>
  </w:style>
  <w:style w:styleId="Emphasis" w:type="character">
    <w:name w:val="Emphasis"/>
    <w:qFormat/>
    <w:rPr>
      <w:i w:val="false"/>
      <w:iCs w:val="false"/>
      <w:color w:val="CC0000"/>
    </w:rPr>
  </w:style>
  <w:style w:styleId="Hyperlink" w:type="character">
    <w:name w:val="Hyperlink"/>
    <w:rPr>
      <w:color w:val="0000FF"/>
      <w:u w:val="single"/>
    </w:rPr>
  </w:style>
  <w:style w:styleId="Style14" w:type="character">
    <w:name w:val="批注引用"/>
    <w:qFormat/>
    <w:rPr>
      <w:rFonts w:cs="Times New Roman"/>
      <w:sz w:val="21"/>
      <w:szCs w:val="21"/>
    </w:rPr>
  </w:style>
  <w:style w:styleId="FootnoteCharacters" w:type="character">
    <w:name w:val="Footnote Characters"/>
    <w:qFormat/>
    <w:rPr>
      <w:vertAlign w:val="superscript"/>
    </w:rPr>
  </w:style>
  <w:style w:styleId="apple-style-span" w:type="character">
    <w:name w:val="apple-style-span"/>
    <w:basedOn w:val="Style9"/>
    <w:qFormat/>
    <w:rPr/>
  </w:style>
  <w:style w:styleId="FootnoteTextChar" w:type="character">
    <w:name w:val="Footnote Text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line31" w:type="character">
    <w:name w:val="line31"/>
    <w:qFormat/>
    <w:rPr>
      <w:color w:val="666666"/>
      <w:sz w:val="10"/>
      <w:szCs w:val="10"/>
    </w:rPr>
  </w:style>
  <w:style w:styleId="Style15" w:type="character">
    <w:name w:val="未处理的提及"/>
    <w:qFormat/>
    <w:rPr>
      <w:color w:val="605E5C"/>
      <w:shd w:fill="E1DFDD" w:val="clear"/>
    </w:rPr>
  </w:style>
  <w:style w:styleId="CharCharCharChar" w:type="character">
    <w:name w:val=" Char Char Char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CharChar" w:type="character">
    <w:name w:val="脚注文本 Char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javascript" w:type="character">
    <w:name w:val="javascript"/>
    <w:basedOn w:val="Style9"/>
    <w:qFormat/>
    <w:rPr/>
  </w:style>
  <w:style w:styleId="style331" w:type="character">
    <w:name w:val="style331"/>
    <w:qFormat/>
    <w:rPr>
      <w:rFonts w:cs="Times New Roman"/>
      <w:sz w:val="21"/>
      <w:szCs w:val="21"/>
    </w:rPr>
  </w:style>
  <w:style w:styleId="hangju" w:type="character">
    <w:name w:val="hangju"/>
    <w:basedOn w:val="Style9"/>
    <w:qFormat/>
    <w:rPr/>
  </w:style>
  <w:style w:styleId="f14px" w:type="character">
    <w:name w:val="f14px"/>
    <w:basedOn w:val="Style9"/>
    <w:qFormat/>
    <w:rPr/>
  </w:style>
  <w:style w:styleId="Char" w:type="character">
    <w:name w:val="#正文 Char"/>
    <w:qFormat/>
    <w:rPr>
      <w:color w:val="000000"/>
      <w:sz w:val="21"/>
    </w:rPr>
  </w:style>
  <w:style w:styleId="16" w:type="character">
    <w:name w:val="16"/>
    <w:qFormat/>
    <w:rPr>
      <w:rFonts w:ascii="Times New Roman" w:cs="Times New Roman" w:hAnsi="Times New Roman"/>
      <w:sz w:val="20"/>
      <w:szCs w:val="20"/>
      <w:vertAlign w:val="superscript"/>
    </w:rPr>
  </w:style>
  <w:style w:styleId="datatitle1" w:type="character">
    <w:name w:val="datatitle1"/>
    <w:qFormat/>
    <w:rPr>
      <w:b/>
      <w:bCs/>
      <w:color w:val="10619F"/>
      <w:sz w:val="21"/>
      <w:szCs w:val="21"/>
    </w:rPr>
  </w:style>
  <w:style w:styleId="forword1" w:type="character">
    <w:name w:val="forword1"/>
    <w:qFormat/>
    <w:rPr>
      <w:vanish w:val="false"/>
    </w:rPr>
  </w:style>
  <w:style w:styleId="content" w:type="character">
    <w:name w:val="content"/>
    <w:basedOn w:val="Style9"/>
    <w:qFormat/>
    <w:rPr/>
  </w:style>
  <w:style w:styleId="apple-converted-space" w:type="character">
    <w:name w:val="apple-converted-space"/>
    <w:basedOn w:val="Style9"/>
    <w:qFormat/>
    <w:rPr/>
  </w:style>
  <w:style w:styleId="smallsize1" w:type="character">
    <w:name w:val="smallsize1"/>
    <w:qFormat/>
    <w:rPr>
      <w:sz w:val="12"/>
      <w:szCs w:val="12"/>
    </w:rPr>
  </w:style>
  <w:style w:styleId="CharChar5" w:type="character">
    <w:name w:val=" Char Char5"/>
    <w:qFormat/>
    <w:rPr>
      <w:rFonts w:ascii="Times New Roman" w:cs="Times New Roman" w:eastAsia="宋体;汉仪书宋二KW" w:hAnsi="Times New Roman"/>
      <w:sz w:val="18"/>
      <w:szCs w:val="18"/>
    </w:rPr>
  </w:style>
  <w:style w:styleId="Char1" w:type="character">
    <w:name w:val="脚注文本 Char"/>
    <w:qFormat/>
    <w:rPr>
      <w:rFonts w:eastAsia="宋体;汉仪书宋二KW"/>
      <w:kern w:val="2"/>
      <w:sz w:val="18"/>
      <w:szCs w:val="18"/>
      <w:lang w:bidi="ar-SA" w:eastAsia="zh-CN" w:val="en-US"/>
    </w:rPr>
  </w:style>
  <w:style w:styleId="print1" w:type="character">
    <w:name w:val="print1"/>
    <w:qFormat/>
    <w:rPr>
      <w:vanish w:val="false"/>
    </w:rPr>
  </w:style>
  <w:style w:styleId="pos2" w:type="character">
    <w:name w:val="pos2"/>
    <w:qFormat/>
    <w:rPr>
      <w:b/>
      <w:bCs/>
      <w:sz w:val="26"/>
      <w:szCs w:val="26"/>
    </w:rPr>
  </w:style>
  <w:style w:styleId="phonetic2" w:type="character">
    <w:name w:val="phonetic2"/>
    <w:qFormat/>
    <w:rPr>
      <w:rFonts w:ascii="Lucida Sans Unicode;苹方-简" w:cs="Lucida Sans Unicode;苹方-简" w:hAnsi="Lucida Sans Unicode;苹方-简"/>
      <w:b w:val="false"/>
      <w:bCs w:val="false"/>
      <w:color w:val="666666"/>
      <w:sz w:val="22"/>
      <w:szCs w:val="22"/>
    </w:rPr>
  </w:style>
  <w:style w:styleId="mw-headline" w:type="character">
    <w:name w:val="mw-headline"/>
    <w:basedOn w:val="Style9"/>
    <w:qFormat/>
    <w:rPr/>
  </w:style>
  <w:style w:styleId="cmt1" w:type="character">
    <w:name w:val="cmt1"/>
    <w:qFormat/>
    <w:rPr>
      <w:vanish w:val="false"/>
    </w:rPr>
  </w:style>
  <w:style w:styleId="author1" w:type="character">
    <w:name w:val="author1"/>
    <w:basedOn w:val="Style9"/>
    <w:qFormat/>
    <w:rPr/>
  </w:style>
  <w:style w:styleId="bigsize1" w:type="character">
    <w:name w:val="bigsize1"/>
    <w:qFormat/>
    <w:rPr>
      <w:sz w:val="15"/>
      <w:szCs w:val="15"/>
    </w:rPr>
  </w:style>
  <w:style w:styleId="da" w:type="character">
    <w:name w:val="da"/>
    <w:basedOn w:val="Style9"/>
    <w:qFormat/>
    <w:rPr/>
  </w:style>
  <w:style w:styleId="FootnoteReference" w:type="character">
    <w:name w:val="footnote reference"/>
    <w:rPr>
      <w:vertAlign w:val="superscript"/>
    </w:rPr>
  </w:style>
  <w:style w:styleId="EndnoteReference" w:type="character">
    <w:name w:val="endnote reference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lineRule="exact" w:line="400" w:before="0" w:after="0"/>
    </w:pPr>
    <w:rPr>
      <w:rFonts w:ascii="Times New Roman" w:hAnsi="Times New Roman" w:eastAsia="宋体"/>
      <w:sz w:val="21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ohit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styleId="TOC7" w:type="paragraph">
    <w:name w:val="toc 7"/>
    <w:basedOn w:val="Normal"/>
    <w:next w:val="Normal"/>
    <w:pPr>
      <w:ind w:hanging="0" w:left="1260" w:right="0"/>
    </w:pPr>
    <w:rPr>
      <w:sz w:val="18"/>
      <w:szCs w:val="18"/>
    </w:rPr>
  </w:style>
  <w:style w:styleId="Style16" w:type="paragraph">
    <w:name w:val="文档结构图"/>
    <w:basedOn w:val="Normal"/>
    <w:qFormat/>
    <w:pPr>
      <w:shd w:fill="000080" w:val="clear"/>
    </w:pPr>
    <w:rPr/>
  </w:style>
  <w:style w:styleId="Style17" w:type="paragraph">
    <w:name w:val="批注文字"/>
    <w:basedOn w:val="Normal"/>
    <w:qFormat/>
    <w:pPr>
      <w:widowControl w:val="false"/>
    </w:pPr>
    <w:rPr>
      <w:rFonts w:ascii="Calibri;Helvetica Neue" w:cs="Calibri;Helvetica Neue" w:hAnsi="Calibri;Helvetica Neue"/>
      <w:kern w:val="2"/>
      <w:sz w:val="21"/>
      <w:szCs w:val="21"/>
    </w:rPr>
  </w:style>
  <w:style w:styleId="BodyTextIndent" w:type="paragraph">
    <w:name w:val="Body Text Indent"/>
    <w:basedOn w:val="Normal"/>
    <w:pPr>
      <w:ind w:hanging="2520" w:left="2520" w:right="0"/>
    </w:pPr>
    <w:rPr>
      <w:sz w:val="28"/>
    </w:rPr>
  </w:style>
  <w:style w:styleId="TOC5" w:type="paragraph">
    <w:name w:val="toc 5"/>
    <w:basedOn w:val="Normal"/>
    <w:next w:val="Normal"/>
    <w:pPr>
      <w:ind w:hanging="0" w:left="840" w:right="0"/>
    </w:pPr>
    <w:rPr>
      <w:sz w:val="18"/>
      <w:szCs w:val="18"/>
    </w:rPr>
  </w:style>
  <w:style w:styleId="TOC3" w:type="paragraph">
    <w:name w:val="toc 3"/>
    <w:basedOn w:val="Normal"/>
    <w:next w:val="Normal"/>
    <w:pPr>
      <w:ind w:hanging="0" w:left="420" w:right="0"/>
    </w:pPr>
    <w:rPr>
      <w:i/>
      <w:iCs/>
      <w:sz w:val="20"/>
      <w:szCs w:val="20"/>
    </w:rPr>
  </w:style>
  <w:style w:styleId="Style18" w:type="paragraph">
    <w:name w:val="纯文本"/>
    <w:basedOn w:val="Normal"/>
    <w:qFormat/>
    <w:pPr/>
    <w:rPr>
      <w:rFonts w:cs="Times New Roman"/>
      <w:szCs w:val="21"/>
    </w:rPr>
  </w:style>
  <w:style w:styleId="TOC8" w:type="paragraph">
    <w:name w:val="toc 8"/>
    <w:basedOn w:val="Normal"/>
    <w:next w:val="Normal"/>
    <w:pPr>
      <w:ind w:hanging="0" w:left="1470" w:right="0"/>
    </w:pPr>
    <w:rPr>
      <w:sz w:val="18"/>
      <w:szCs w:val="18"/>
    </w:rPr>
  </w:style>
  <w:style w:styleId="Style19" w:type="paragraph">
    <w:name w:val="日期"/>
    <w:basedOn w:val="Normal"/>
    <w:next w:val="Normal"/>
    <w:qFormat/>
    <w:pPr/>
    <w:rPr>
      <w:sz w:val="32"/>
    </w:rPr>
  </w:style>
  <w:style w:styleId="2" w:type="paragraph">
    <w:name w:val="正文文本缩进 2"/>
    <w:basedOn w:val="Normal"/>
    <w:qFormat/>
    <w:pPr>
      <w:ind w:firstLine="630" w:left="0" w:right="0"/>
    </w:pPr>
    <w:rPr/>
  </w:style>
  <w:style w:styleId="Style20" w:type="paragraph">
    <w:name w:val="批注框文本"/>
    <w:basedOn w:val="Normal"/>
    <w:qFormat/>
    <w:pPr/>
    <w:rPr>
      <w:sz w:val="18"/>
      <w:szCs w:val="18"/>
    </w:rPr>
  </w:style>
  <w:style w:styleId="HeaderandFooter" w:type="paragraph">
    <w:name w:val="Header and Footer"/>
    <w:basedOn w:val="Normal"/>
    <w:qFormat/>
    <w:pPr>
      <w:suppressLineNumbers/>
      <w:tabs>
        <w:tab w:pos="420" w:val="clear"/>
        <w:tab w:leader="none" w:pos="4819" w:val="center"/>
        <w:tab w:leader="none" w:pos="9638" w:val="right"/>
      </w:tabs>
    </w:pPr>
    <w:rPr/>
  </w:style>
  <w:style w:styleId="Footer" w:type="paragraph">
    <w:name w:val="footer"/>
    <w:basedOn w:val="Normal"/>
    <w:pPr>
      <w:tabs>
        <w:tab w:pos="420" w:val="clear"/>
        <w:tab w:leader="none" w:pos="4153" w:val="center"/>
        <w:tab w:leader="none" w:pos="8306" w:val="right"/>
      </w:tabs>
      <w:snapToGrid w:val="false"/>
    </w:pPr>
    <w:rPr>
      <w:sz w:val="18"/>
      <w:szCs w:val="18"/>
    </w:rPr>
  </w:style>
  <w:style w:styleId="Header" w:type="paragraph">
    <w:name w:val="header"/>
    <w:basedOn w:val="Normal"/>
    <w:pPr>
      <w:pBdr>
        <w:bottom w:color="000000" w:space="1" w:sz="4" w:val="double"/>
      </w:pBdr>
      <w:tabs>
        <w:tab w:pos="420" w:val="clear"/>
        <w:tab w:leader="none" w:pos="4153" w:val="center"/>
        <w:tab w:leader="none" w:pos="8306" w:val="right"/>
      </w:tabs>
      <w:snapToGrid w:val="false"/>
      <w:jc w:val="center"/>
    </w:pPr>
    <w:rPr>
      <w:sz w:val="18"/>
      <w:szCs w:val="18"/>
    </w:rPr>
  </w:style>
  <w:style w:styleId="TOC1" w:type="paragraph">
    <w:name w:val="toc 1"/>
    <w:basedOn w:val="Normal"/>
    <w:next w:val="Normal"/>
    <w:pPr>
      <w:spacing w:after="120" w:before="120"/>
    </w:pPr>
    <w:rPr>
      <w:b/>
      <w:bCs/>
      <w:caps/>
      <w:sz w:val="20"/>
      <w:szCs w:val="20"/>
    </w:rPr>
  </w:style>
  <w:style w:styleId="TOC4" w:type="paragraph">
    <w:name w:val="toc 4"/>
    <w:basedOn w:val="Normal"/>
    <w:next w:val="Normal"/>
    <w:pPr>
      <w:ind w:hanging="0" w:left="630" w:right="0"/>
    </w:pPr>
    <w:rPr>
      <w:sz w:val="18"/>
      <w:szCs w:val="18"/>
    </w:rPr>
  </w:style>
  <w:style w:styleId="FootnoteText" w:type="paragraph">
    <w:name w:val="footnote text"/>
    <w:basedOn w:val="Normal"/>
    <w:pPr>
      <w:snapToGrid w:val="false"/>
    </w:pPr>
    <w:rPr>
      <w:rFonts w:ascii="Times New Roman" w:cs="Times New Roman" w:hAnsi="Times New Roman"/>
      <w:kern w:val="2"/>
      <w:sz w:val="18"/>
      <w:szCs w:val="18"/>
    </w:rPr>
  </w:style>
  <w:style w:styleId="TOC6" w:type="paragraph">
    <w:name w:val="toc 6"/>
    <w:basedOn w:val="Normal"/>
    <w:next w:val="Normal"/>
    <w:pPr>
      <w:ind w:hanging="0" w:left="1050" w:right="0"/>
    </w:pPr>
    <w:rPr>
      <w:sz w:val="18"/>
      <w:szCs w:val="18"/>
    </w:rPr>
  </w:style>
  <w:style w:styleId="3" w:type="paragraph">
    <w:name w:val="正文文本缩进 3"/>
    <w:basedOn w:val="Normal"/>
    <w:qFormat/>
    <w:pPr>
      <w:ind w:firstLine="3032" w:left="0" w:right="0"/>
    </w:pPr>
    <w:rPr>
      <w:b/>
      <w:bCs/>
      <w:sz w:val="44"/>
    </w:rPr>
  </w:style>
  <w:style w:styleId="TOC2" w:type="paragraph">
    <w:name w:val="toc 2"/>
    <w:basedOn w:val="Normal"/>
    <w:next w:val="Normal"/>
    <w:pPr>
      <w:ind w:hanging="0" w:left="210" w:right="0"/>
    </w:pPr>
    <w:rPr>
      <w:smallCaps/>
      <w:sz w:val="20"/>
      <w:szCs w:val="20"/>
    </w:rPr>
  </w:style>
  <w:style w:styleId="TOC9" w:type="paragraph">
    <w:name w:val="toc 9"/>
    <w:basedOn w:val="Normal"/>
    <w:next w:val="Normal"/>
    <w:pPr>
      <w:ind w:hanging="0" w:left="1680" w:right="0"/>
    </w:pPr>
    <w:rPr>
      <w:sz w:val="18"/>
      <w:szCs w:val="18"/>
    </w:rPr>
  </w:style>
  <w:style w:styleId="Style21" w:type="paragraph">
    <w:name w:val="普通(网站)"/>
    <w:basedOn w:val="Normal"/>
    <w:qFormat/>
    <w:pPr>
      <w:spacing w:after="100" w:before="100"/>
    </w:pPr>
    <w:rPr/>
  </w:style>
  <w:style w:styleId="Style22" w:type="paragraph">
    <w:name w:val="批注主题"/>
    <w:basedOn w:val="Style17"/>
    <w:next w:val="Style17"/>
    <w:qFormat/>
    <w:pPr>
      <w:widowControl/>
    </w:pPr>
    <w:rPr>
      <w:rFonts w:ascii="宋体;汉仪书宋二KW" w:cs="宋体;汉仪书宋二KW" w:hAnsi="宋体;汉仪书宋二KW"/>
      <w:b/>
      <w:bCs/>
      <w:sz w:val="24"/>
      <w:szCs w:val="24"/>
    </w:rPr>
  </w:style>
  <w:style w:styleId="Style23" w:type="paragraph">
    <w:name w:val="#正文"/>
    <w:basedOn w:val="Normal"/>
    <w:qFormat/>
    <w:pPr>
      <w:widowControl w:val="false"/>
      <w:ind w:firstLine="200" w:left="0" w:right="0"/>
      <w:jc w:val="both"/>
    </w:pPr>
    <w:rPr>
      <w:rFonts w:ascii="Times New Roman" w:cs="Times New Roman" w:hAnsi="Times New Roman"/>
      <w:color w:val="000000"/>
      <w:sz w:val="21"/>
      <w:szCs w:val="20"/>
    </w:rPr>
  </w:style>
  <w:style w:styleId="1" w:type="paragraph">
    <w:name w:val="列出段落1"/>
    <w:basedOn w:val="Normal"/>
    <w:qFormat/>
    <w:pPr>
      <w:widowControl w:val="false"/>
      <w:ind w:firstLine="420" w:left="0" w:right="0"/>
      <w:jc w:val="both"/>
    </w:pPr>
    <w:rPr>
      <w:rFonts w:ascii="Calibri;Helvetica Neue" w:cs="Calibri;Helvetica Neue" w:hAnsi="Calibri;Helvetica Neue"/>
      <w:kern w:val="2"/>
      <w:sz w:val="21"/>
      <w:szCs w:val="21"/>
    </w:rPr>
  </w:style>
  <w:style w:styleId="Char2" w:type="paragraph">
    <w:name w:val="Char"/>
    <w:basedOn w:val="Normal"/>
    <w:qFormat/>
    <w:pPr/>
    <w:rPr/>
  </w:style>
  <w:style w:styleId="Style24" w:type="paragraph">
    <w:name w:val="修订"/>
    <w:qFormat/>
    <w:pPr>
      <w:widowControl/>
      <w:bidi w:val="0"/>
    </w:pPr>
    <w:rPr>
      <w:rFonts w:ascii="宋体;汉仪书宋二KW" w:cs="宋体;汉仪书宋二KW" w:eastAsia="宋体;汉仪书宋二KW" w:hAnsi="宋体;汉仪书宋二KW"/>
      <w:color w:val="auto"/>
      <w:sz w:val="24"/>
      <w:szCs w:val="24"/>
      <w:lang w:bidi="ar-SA" w:eastAsia="zh-CN" w:val="en-US"/>
    </w:rPr>
  </w:style>
  <w:style w:styleId="Reference" w:type="paragraph">
    <w:name w:val="Reference"/>
    <w:basedOn w:val="Normal"/>
    <w:qFormat/>
    <w:pPr>
      <w:widowControl w:val="false"/>
      <w:jc w:val="both"/>
    </w:pPr>
    <w:rPr>
      <w:rFonts w:ascii="Times New Roman" w:cs="Times New Roman" w:hAnsi="Times New Roman"/>
      <w:kern w:val="2"/>
      <w:sz w:val="18"/>
      <w:szCs w:val="18"/>
    </w:rPr>
  </w:style>
  <w:style w:styleId="ListParagraph" w:type="paragraph">
    <w:name w:val="List Paragraph"/>
    <w:basedOn w:val="Normal"/>
    <w:qFormat/>
    <w:pPr>
      <w:spacing w:after="200" w:before="0" w:line="276" w:lineRule="auto"/>
      <w:ind w:hanging="0" w:left="720" w:right="0"/>
      <w:contextualSpacing/>
    </w:pPr>
    <w:rPr>
      <w:rFonts w:ascii="Calibri;Helvetica Neue" w:cs="Calibri;Helvetica Neue" w:hAnsi="Calibri;Helvetica Neue"/>
      <w:sz w:val="22"/>
      <w:szCs w:val="22"/>
      <w:lang w:eastAsia="en-US"/>
    </w:rPr>
  </w:style>
  <w:style w:styleId="xl31" w:type="paragraph">
    <w:name w:val="xl31"/>
    <w:basedOn w:val="Normal"/>
    <w:qFormat/>
    <w:pPr>
      <w:spacing w:after="100" w:before="100"/>
    </w:pPr>
    <w:rPr/>
  </w:style>
  <w:style w:styleId="0" w:type="paragraph">
    <w:name w:val="0"/>
    <w:basedOn w:val="Normal"/>
    <w:qFormat/>
    <w:pPr/>
    <w:rPr>
      <w:szCs w:val="20"/>
    </w:rPr>
  </w:style>
  <w:style w:styleId="p0" w:type="paragraph">
    <w:name w:val="p0"/>
    <w:basedOn w:val="Normal"/>
    <w:qFormat/>
    <w:pPr/>
    <w:rPr>
      <w:szCs w:val="21"/>
    </w:rPr>
  </w:style>
  <w:style w:styleId="Char3" w:type="paragraph">
    <w:name w:val=" Char"/>
    <w:basedOn w:val="Normal"/>
    <w:qFormat/>
    <w:pPr/>
    <w:rPr>
      <w:szCs w:val="21"/>
    </w:rPr>
  </w:style>
  <w:style w:styleId="FrameContents" w:type="paragraph">
    <w:name w:val="Frame Contents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WW8Num1" w:type="numbering">
    <w:name w:val="WW8Num1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29" Type="http://schemas.openxmlformats.org/officeDocument/2006/relationships/image" Target="media/rId29.png"/><Relationship Id="rId36" Type="http://schemas.openxmlformats.org/officeDocument/2006/relationships/image" Target="media/rId36.png"/><Relationship Id="rId44" Type="http://schemas.openxmlformats.org/officeDocument/2006/relationships/image" Target="media/rId44.png"/><Relationship Id="rId40" Type="http://schemas.openxmlformats.org/officeDocument/2006/relationships/image" Target="media/rId40.png"/><Relationship Id="rId61" Type="http://schemas.openxmlformats.org/officeDocument/2006/relationships/image" Target="media/rId61.png"/><Relationship Id="rId70" Type="http://schemas.openxmlformats.org/officeDocument/2006/relationships/image" Target="media/rId70.png"/><Relationship Id="rId24" Type="http://schemas.openxmlformats.org/officeDocument/2006/relationships/image" Target="media/rId24.png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25440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大模型推理的内存中心化架构演进</dc:title>
  <dc:creator>张某某；李某某；王某某</dc:creator>
  <cp:keywords>大语言模型, 推理系统, KV缓存, CXL, PIM, Chiplet</cp:keywords>
  <dcterms:created xsi:type="dcterms:W3CDTF">2026-09-02T16:46:00Z</dcterms:created>
  <dcterms:modified xsi:type="dcterms:W3CDTF">2026-09-02T16:46:00Z</dcterms:modified>
  <dc:subject>大模型推理、KV缓存、CXL、PIM与Chiplet的内存中心化架构综述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