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Arial" w:cs="Arial" w:eastAsia="Arial" w:hAnsi="Arial"/>
          <w:b/>
          <w:bCs/>
          <w:sz w:val="28"/>
          <w:szCs w:val="28"/>
        </w:rPr>
        <w:t xml:space="preserve">SOLICITUD DE CAMBIO  SC-001</w:t>
      </w:r>
    </w:p>
    <w:p>
      <w:pPr>
        <w:spacing w:after="200" w:before="0" w:line="360"/>
        <w:jc w:val="center"/>
      </w:pPr>
      <w:r>
        <w:rPr>
          <w:rFonts w:ascii="Arial" w:cs="Arial" w:eastAsia="Arial" w:hAnsi="Arial"/>
          <w:sz w:val="22"/>
          <w:szCs w:val="22"/>
        </w:rPr>
        <w:t xml:space="preserve">Showroom Virtual 3D interactivo — Marca global de ropa deportiva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Proyecto</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Showroom Virtual 3D interactivo para marca global de ropa deportiva</w:t>
            </w:r>
          </w:p>
        </w:tc>
      </w:tr>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Fecha de la solicitud</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19 de octubre de 2026</w:t>
            </w:r>
          </w:p>
        </w:tc>
      </w:tr>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Solicitante</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Cliente (marca global de ropa deportiva)</w:t>
            </w:r>
          </w:p>
        </w:tc>
      </w:tr>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Elaborada por</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Equipo de la agencia: Diego Alberto Martínez Ovalle (líder de proyecto), Alan Dibenhi Ledezma Hernández (desarrollo 3D/AR) y Angel Gabriel Ortega Segura (UX/UI y calidad)</w:t>
            </w:r>
          </w:p>
        </w:tc>
      </w:tr>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Tipo de cambio</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Alcance, plataforma y presupuesto (sin cambio en fecha de entrega)</w:t>
            </w:r>
          </w:p>
        </w:tc>
      </w:tr>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Prioridad</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Alta — urgente</w:t>
            </w:r>
          </w:p>
        </w:tc>
      </w:tr>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Estado</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Pendiente de aprobación del cliente</w:t>
            </w:r>
          </w:p>
        </w:tc>
      </w:tr>
    </w:tbl>
    <w:p>
      <w:pPr>
        <w:keepNext/>
        <w:spacing w:after="120" w:before="200" w:line="360"/>
        <w:jc w:val="left"/>
      </w:pPr>
      <w:r>
        <w:rPr>
          <w:rFonts w:ascii="Arial" w:cs="Arial" w:eastAsia="Arial" w:hAnsi="Arial"/>
          <w:b/>
          <w:bCs/>
          <w:sz w:val="24"/>
          <w:szCs w:val="24"/>
        </w:rPr>
        <w:t xml:space="preserve">1. Descripción del cambio solicitado</w:t>
      </w:r>
    </w:p>
    <w:p>
      <w:pPr>
        <w:spacing w:after="120" w:before="0" w:line="360"/>
        <w:jc w:val="both"/>
      </w:pPr>
      <w:r>
        <w:rPr>
          <w:rFonts w:ascii="Arial" w:cs="Arial" w:eastAsia="Arial" w:hAnsi="Arial"/>
          <w:sz w:val="24"/>
          <w:szCs w:val="24"/>
        </w:rPr>
        <w:t xml:space="preserve">El cliente solicitó, en fase de producción, lo siguiente: “-20% Presupuesto. Migración total a Realidad Aumentada (Móvil). Misma fecha de entrega”. Esto reemplaza el showroom 3D de escritorio, cuyos wireframes ya habían sido aprobados, por una experiencia de realidad aumentada para teléfonos en pantalla vertical, con un presupuesto equivalente al 80 % del original.</w:t>
      </w:r>
    </w:p>
    <w:p>
      <w:pPr>
        <w:keepNext/>
        <w:spacing w:after="120" w:before="200" w:line="360"/>
        <w:jc w:val="left"/>
      </w:pPr>
      <w:r>
        <w:rPr>
          <w:rFonts w:ascii="Arial" w:cs="Arial" w:eastAsia="Arial" w:hAnsi="Arial"/>
          <w:b/>
          <w:bCs/>
          <w:sz w:val="24"/>
          <w:szCs w:val="24"/>
        </w:rPr>
        <w:t xml:space="preserve">2. Línea base vigente</w:t>
      </w:r>
    </w:p>
    <w:p>
      <w:pPr>
        <w:pStyle w:val="ListParagraph"/>
        <w:numPr>
          <w:ilvl w:val="0"/>
          <w:numId w:val="2"/>
        </w:numPr>
        <w:spacing w:after="60" w:line="360"/>
        <w:jc w:val="both"/>
      </w:pPr>
      <w:r>
        <w:rPr>
          <w:rFonts w:ascii="Arial" w:cs="Arial" w:eastAsia="Arial" w:hAnsi="Arial"/>
          <w:b/>
          <w:bCs/>
          <w:sz w:val="24"/>
          <w:szCs w:val="24"/>
        </w:rPr>
        <w:t xml:space="preserve">Producto:</w:t>
      </w:r>
      <w:r>
        <w:rPr>
          <w:rFonts w:ascii="Arial" w:cs="Arial" w:eastAsia="Arial" w:hAnsi="Arial"/>
          <w:sz w:val="24"/>
          <w:szCs w:val="24"/>
        </w:rPr>
        <w:t xml:space="preserve"> showroom virtual 3D navegable desde PC (mouse y teclado).</w:t>
      </w:r>
    </w:p>
    <w:p>
      <w:pPr>
        <w:pStyle w:val="ListParagraph"/>
        <w:numPr>
          <w:ilvl w:val="0"/>
          <w:numId w:val="2"/>
        </w:numPr>
        <w:spacing w:after="60" w:line="360"/>
        <w:jc w:val="both"/>
      </w:pPr>
      <w:r>
        <w:rPr>
          <w:rFonts w:ascii="Arial" w:cs="Arial" w:eastAsia="Arial" w:hAnsi="Arial"/>
          <w:b/>
          <w:bCs/>
          <w:sz w:val="24"/>
          <w:szCs w:val="24"/>
        </w:rPr>
        <w:t xml:space="preserve">Aprobado:</w:t>
      </w:r>
      <w:r>
        <w:rPr>
          <w:rFonts w:ascii="Arial" w:cs="Arial" w:eastAsia="Arial" w:hAnsi="Arial"/>
          <w:sz w:val="24"/>
          <w:szCs w:val="24"/>
        </w:rPr>
        <w:t xml:space="preserve"> wireframes de la versión PC y cronograma base.</w:t>
      </w:r>
    </w:p>
    <w:p>
      <w:pPr>
        <w:pStyle w:val="ListParagraph"/>
        <w:numPr>
          <w:ilvl w:val="0"/>
          <w:numId w:val="2"/>
        </w:numPr>
        <w:spacing w:after="60" w:line="360"/>
        <w:jc w:val="both"/>
      </w:pPr>
      <w:r>
        <w:rPr>
          <w:rFonts w:ascii="Arial" w:cs="Arial" w:eastAsia="Arial" w:hAnsi="Arial"/>
          <w:b/>
          <w:bCs/>
          <w:sz w:val="24"/>
          <w:szCs w:val="24"/>
        </w:rPr>
        <w:t xml:space="preserve">Avance:</w:t>
      </w:r>
      <w:r>
        <w:rPr>
          <w:rFonts w:ascii="Arial" w:cs="Arial" w:eastAsia="Arial" w:hAnsi="Arial"/>
          <w:sz w:val="24"/>
          <w:szCs w:val="24"/>
        </w:rPr>
        <w:t xml:space="preserve"> modelado 3D en curso, maquetación de la interfaz de PC iniciada y navegación 3D en etapa temprana (ver Kanban “Antes”).</w:t>
      </w:r>
    </w:p>
    <w:p>
      <w:pPr>
        <w:keepNext/>
        <w:spacing w:after="120" w:before="200" w:line="360"/>
        <w:jc w:val="left"/>
      </w:pPr>
      <w:r>
        <w:rPr>
          <w:rFonts w:ascii="Arial" w:cs="Arial" w:eastAsia="Arial" w:hAnsi="Arial"/>
          <w:b/>
          <w:bCs/>
          <w:sz w:val="24"/>
          <w:szCs w:val="24"/>
        </w:rPr>
        <w:t xml:space="preserve">3. Justificación técnica y de gestión</w:t>
      </w:r>
    </w:p>
    <w:p>
      <w:pPr>
        <w:spacing w:after="120" w:before="0" w:line="360"/>
        <w:jc w:val="both"/>
      </w:pPr>
      <w:r>
        <w:rPr>
          <w:rFonts w:ascii="Arial" w:cs="Arial" w:eastAsia="Arial" w:hAnsi="Arial"/>
          <w:sz w:val="24"/>
          <w:szCs w:val="24"/>
        </w:rPr>
        <w:t xml:space="preserve">Un proyecto se sostiene sobre alcance, tiempo, costo y calidad; si uno se restringe, al menos otro debe ajustarse (Project Management Institute [PMI], 2021). Aquí el costo baja 20 % y el tiempo no se mueve, por lo que </w:t>
      </w:r>
      <w:r>
        <w:rPr>
          <w:rFonts w:ascii="Arial" w:cs="Arial" w:eastAsia="Arial" w:hAnsi="Arial"/>
          <w:b/>
          <w:bCs/>
          <w:sz w:val="24"/>
          <w:szCs w:val="24"/>
        </w:rPr>
        <w:t xml:space="preserve">la variable que puede absorber el cambio es el alcance</w:t>
      </w:r>
      <w:r>
        <w:rPr>
          <w:rFonts w:ascii="Arial" w:cs="Arial" w:eastAsia="Arial" w:hAnsi="Arial"/>
          <w:sz w:val="24"/>
          <w:szCs w:val="24"/>
        </w:rPr>
        <w:t xml:space="preserve">. Proponemos entonces entregar un producto mínimo viable (MVP) de AR móvil con una colección piloto, y no replicar en móvil todo lo planeado para PC. La justificación se apoya en cinco puntos:</w:t>
      </w:r>
    </w:p>
    <w:p>
      <w:pPr>
        <w:pStyle w:val="ListParagraph"/>
        <w:numPr>
          <w:ilvl w:val="0"/>
          <w:numId w:val="2"/>
        </w:numPr>
        <w:spacing w:after="60" w:line="360"/>
        <w:jc w:val="both"/>
      </w:pPr>
      <w:r>
        <w:rPr>
          <w:rFonts w:ascii="Arial" w:cs="Arial" w:eastAsia="Arial" w:hAnsi="Arial"/>
          <w:b/>
          <w:bCs/>
          <w:sz w:val="24"/>
          <w:szCs w:val="24"/>
        </w:rPr>
        <w:t xml:space="preserve">Menor costo por plataforma única.</w:t>
      </w:r>
      <w:r>
        <w:rPr>
          <w:rFonts w:ascii="Arial" w:cs="Arial" w:eastAsia="Arial" w:hAnsi="Arial"/>
          <w:sz w:val="24"/>
          <w:szCs w:val="24"/>
        </w:rPr>
        <w:t xml:space="preserve"> Se descarta el desarrollo y las pruebas de la versión PC, que concentraba la mayor parte del esfuerzo (ver reasignación en la sección 5).</w:t>
      </w:r>
    </w:p>
    <w:p>
      <w:pPr>
        <w:pStyle w:val="ListParagraph"/>
        <w:numPr>
          <w:ilvl w:val="0"/>
          <w:numId w:val="2"/>
        </w:numPr>
        <w:spacing w:after="60" w:line="360"/>
        <w:jc w:val="both"/>
      </w:pPr>
      <w:r>
        <w:rPr>
          <w:rFonts w:ascii="Arial" w:cs="Arial" w:eastAsia="Arial" w:hAnsi="Arial"/>
          <w:b/>
          <w:bCs/>
          <w:sz w:val="24"/>
          <w:szCs w:val="24"/>
        </w:rPr>
        <w:t xml:space="preserve">Entrega como PWA.</w:t>
      </w:r>
      <w:r>
        <w:rPr>
          <w:rFonts w:ascii="Arial" w:cs="Arial" w:eastAsia="Arial" w:hAnsi="Arial"/>
          <w:sz w:val="24"/>
          <w:szCs w:val="24"/>
        </w:rPr>
        <w:t xml:space="preserve"> Una aplicación web progresiva se abre desde el navegador, se puede instalar en la pantalla de inicio y evita publicar en tiendas de aplicaciones, lo que reduce costos y tiempos de aprobación. Un service worker permite guardar en caché la interfaz y los modelos 3D ya vistos.</w:t>
      </w:r>
    </w:p>
    <w:p>
      <w:pPr>
        <w:pStyle w:val="ListParagraph"/>
        <w:numPr>
          <w:ilvl w:val="0"/>
          <w:numId w:val="2"/>
        </w:numPr>
        <w:spacing w:after="60" w:line="360"/>
        <w:jc w:val="both"/>
      </w:pPr>
      <w:r>
        <w:rPr>
          <w:rFonts w:ascii="Arial" w:cs="Arial" w:eastAsia="Arial" w:hAnsi="Arial"/>
          <w:b/>
          <w:bCs/>
          <w:sz w:val="24"/>
          <w:szCs w:val="24"/>
        </w:rPr>
        <w:t xml:space="preserve">Reutilización de lo hecho.</w:t>
      </w:r>
      <w:r>
        <w:rPr>
          <w:rFonts w:ascii="Arial" w:cs="Arial" w:eastAsia="Arial" w:hAnsi="Arial"/>
          <w:sz w:val="24"/>
          <w:szCs w:val="24"/>
        </w:rPr>
        <w:t xml:space="preserve"> Los modelos 3D en curso se optimizan (formatos glTF y USDZ) en vez de rehacerse, y los componentes visuales de PC se adaptan al diseño vertical.</w:t>
      </w:r>
    </w:p>
    <w:p>
      <w:pPr>
        <w:pStyle w:val="ListParagraph"/>
        <w:numPr>
          <w:ilvl w:val="0"/>
          <w:numId w:val="2"/>
        </w:numPr>
        <w:spacing w:after="60" w:line="360"/>
        <w:jc w:val="both"/>
      </w:pPr>
      <w:r>
        <w:rPr>
          <w:rFonts w:ascii="Arial" w:cs="Arial" w:eastAsia="Arial" w:hAnsi="Arial"/>
          <w:b/>
          <w:bCs/>
          <w:sz w:val="24"/>
          <w:szCs w:val="24"/>
        </w:rPr>
        <w:t xml:space="preserve">Misma fecha, mediante re-secuenciación.</w:t>
      </w:r>
      <w:r>
        <w:rPr>
          <w:rFonts w:ascii="Arial" w:cs="Arial" w:eastAsia="Arial" w:hAnsi="Arial"/>
          <w:sz w:val="24"/>
          <w:szCs w:val="24"/>
        </w:rPr>
        <w:t xml:space="preserve"> La optimización de modelos y el rediseño UX/UI se ejecutan en paralelo, y las pruebas de seguimiento (tracking) en dispositivos se adelantan por ser el mayor riesgo técnico.</w:t>
      </w:r>
    </w:p>
    <w:p>
      <w:pPr>
        <w:pStyle w:val="ListParagraph"/>
        <w:numPr>
          <w:ilvl w:val="0"/>
          <w:numId w:val="2"/>
        </w:numPr>
        <w:spacing w:after="60" w:line="360"/>
        <w:jc w:val="both"/>
      </w:pPr>
      <w:r>
        <w:rPr>
          <w:rFonts w:ascii="Arial" w:cs="Arial" w:eastAsia="Arial" w:hAnsi="Arial"/>
          <w:b/>
          <w:bCs/>
          <w:sz w:val="24"/>
          <w:szCs w:val="24"/>
        </w:rPr>
        <w:t xml:space="preserve">Valor para el negocio.</w:t>
      </w:r>
      <w:r>
        <w:rPr>
          <w:rFonts w:ascii="Arial" w:cs="Arial" w:eastAsia="Arial" w:hAnsi="Arial"/>
          <w:sz w:val="24"/>
          <w:szCs w:val="24"/>
        </w:rPr>
        <w:t xml:space="preserve"> El móvil es el dispositivo que el cliente quiere priorizar y la AR permite “probar en tu espacio”, una propuesta más diferenciadora que un recorrido 3D en escritorio.</w:t>
      </w:r>
    </w:p>
    <w:p>
      <w:pPr>
        <w:keepNext/>
        <w:spacing w:after="120" w:before="200" w:line="360"/>
        <w:jc w:val="left"/>
      </w:pPr>
      <w:r>
        <w:rPr>
          <w:rFonts w:ascii="Arial" w:cs="Arial" w:eastAsia="Arial" w:hAnsi="Arial"/>
          <w:b/>
          <w:bCs/>
          <w:sz w:val="24"/>
          <w:szCs w:val="24"/>
        </w:rPr>
        <w:t xml:space="preserve">4. Análisis de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Área</w:t>
            </w:r>
          </w:p>
        </w:tc>
        <w:tc>
          <w:tcPr>
            <w:tcW w:type="dxa" w:w="74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Impacto del cambio</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Alcance</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Se reduce a una colección piloto en AR móvil (pantalla vertical). La versión PC pasa a backlog congelado para una etapa posterior con presupuesto aparte.</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Cronograma</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Sin cambio en la fecha de entrega. Se re-secuencia la ruta crítica: modelos 3D, UX/UI y prototipo AR en paralelo; las pruebas de tracking se adelantan.</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Costo</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Se reduce 20 % respecto a la línea base (ver reasignación en la sección 5).</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Calidad</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Se prioriza estabilidad y fluidez de la AR en dispositivos de gama media antes que cantidad de productos.</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Recursos</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Mismo equipo de tres personas; cambian las tareas: sale WebGL de escritorio, entran AR web, PWA y pruebas en dispositivos.</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Riesgos</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Aparecen riesgos nuevos de compatibilidad y rendimiento en móviles (sección 7).</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Interesados</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El cliente debe aprobar la colección piloto y entregar activos de marca en tiempo para no comprometer la fecha.</w:t>
            </w:r>
          </w:p>
        </w:tc>
      </w:tr>
    </w:tbl>
    <w:p>
      <w:pPr>
        <w:keepNext/>
        <w:spacing w:after="120" w:before="200" w:line="360"/>
        <w:jc w:val="left"/>
      </w:pPr>
      <w:r>
        <w:rPr>
          <w:rFonts w:ascii="Arial" w:cs="Arial" w:eastAsia="Arial" w:hAnsi="Arial"/>
          <w:b/>
          <w:bCs/>
          <w:sz w:val="24"/>
          <w:szCs w:val="24"/>
        </w:rPr>
        <w:t xml:space="preserve">5. Desviaciones respecto a la línea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860"/>
      </w:tblGrid>
      <w:tr>
        <w:trPr>
          <w:cantSplit/>
          <w:tblHeader/>
        </w:trPr>
        <w:tc>
          <w:tcPr>
            <w:tcW w:type="dxa" w:w="17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Elemento</w:t>
            </w:r>
          </w:p>
        </w:tc>
        <w:tc>
          <w:tcPr>
            <w:tcW w:type="dxa" w:w="1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Línea base</w:t>
            </w:r>
          </w:p>
        </w:tc>
        <w:tc>
          <w:tcPr>
            <w:tcW w:type="dxa" w:w="1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Propuesta</w:t>
            </w:r>
          </w:p>
        </w:tc>
        <w:tc>
          <w:tcPr>
            <w:tcW w:type="dxa" w:w="38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Desviación y justificación</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Plataforma</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Escritorio (PC)</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Móvil, AR, PWA</w:t>
            </w:r>
          </w:p>
        </w:tc>
        <w:tc>
          <w:tcPr>
            <w:tcW w:type="dxa" w:w="38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Solicitada por el cliente; reduce costos de tienda y mantenimiento.</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Orientación</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Horizontal 16:9</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Vertical</w:t>
            </w:r>
          </w:p>
        </w:tc>
        <w:tc>
          <w:tcPr>
            <w:tcW w:type="dxa" w:w="38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Uso natural del teléfono; acciones en la zona del pulgar.</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Interacción</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Mouse y teclado</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Táctil y cámara</w:t>
            </w:r>
          </w:p>
        </w:tc>
        <w:tc>
          <w:tcPr>
            <w:tcW w:type="dxa" w:w="38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Se sustituye la navegación por gestos de pellizco, giro y colocación.</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Alcance de catálogo</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Showroom completo</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Colección piloto</w:t>
            </w:r>
          </w:p>
        </w:tc>
        <w:tc>
          <w:tcPr>
            <w:tcW w:type="dxa" w:w="38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Compensa el −20 % sin mover la fecha.</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Presupuesto</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100 %</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80 %</w:t>
            </w:r>
          </w:p>
        </w:tc>
        <w:tc>
          <w:tcPr>
            <w:tcW w:type="dxa" w:w="38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Solicitado por el cliente; se reasigna como se muestra abajo.</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Fecha de entrega</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Fecha original</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Fecha original</w:t>
            </w:r>
          </w:p>
        </w:tc>
        <w:tc>
          <w:tcPr>
            <w:tcW w:type="dxa" w:w="38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Sin desviación.</w:t>
            </w:r>
          </w:p>
        </w:tc>
      </w:tr>
    </w:tbl>
    <w:p>
      <w:pPr>
        <w:spacing w:after="0" w:before="120"/>
      </w:pPr>
    </w:p>
    <w:p>
      <w:pPr>
        <w:keepNext/>
        <w:spacing w:after="120" w:before="0" w:line="300"/>
        <w:jc w:val="both"/>
      </w:pPr>
      <w:r>
        <w:rPr>
          <w:rFonts w:ascii="Arial" w:cs="Arial" w:eastAsia="Arial" w:hAnsi="Arial"/>
          <w:b/>
          <w:bCs/>
          <w:sz w:val="24"/>
          <w:szCs w:val="24"/>
        </w:rPr>
        <w:t xml:space="preserve">Reasignación estimada del presupuesto</w:t>
      </w:r>
      <w:r>
        <w:rPr>
          <w:rFonts w:ascii="Arial" w:cs="Arial" w:eastAsia="Arial" w:hAnsi="Arial"/>
          <w:sz w:val="24"/>
          <w:szCs w:val="24"/>
        </w:rPr>
        <w:t xml:space="preserve"> (porcentaje del presupuesto base; estimación preliminar del equipo, sujeta a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600"/>
        <w:gridCol w:w="1900"/>
        <w:gridCol w:w="1900"/>
      </w:tblGrid>
      <w:tr>
        <w:trPr>
          <w:cantSplit/>
          <w:tblHeader/>
        </w:trPr>
        <w:tc>
          <w:tcPr>
            <w:tcW w:type="dxa" w:w="39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Concepto</w:t>
            </w:r>
          </w:p>
        </w:tc>
        <w:tc>
          <w:tcPr>
            <w:tcW w:type="dxa" w:w="16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Base (%)</w:t>
            </w:r>
          </w:p>
        </w:tc>
        <w:tc>
          <w:tcPr>
            <w:tcW w:type="dxa" w:w="1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Propuesta (%)</w:t>
            </w:r>
          </w:p>
        </w:tc>
        <w:tc>
          <w:tcPr>
            <w:tcW w:type="dxa" w:w="1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Variación (puntos)</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Gestión y coordinación</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10</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10</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0</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Diseño UX/UI</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15</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14</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Modelado y optimización 3D</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25</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20</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−5</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Desarrollo (PC → AR móvil/PWA)</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30</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22</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−8</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Pruebas y calidad</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12</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9</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−3</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Documentación y entrega</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8</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5</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−3</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Total</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100</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80</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−20</w:t>
            </w:r>
          </w:p>
        </w:tc>
      </w:tr>
    </w:tbl>
    <w:p>
      <w:pPr>
        <w:keepNext/>
        <w:spacing w:after="120" w:before="200" w:line="360"/>
        <w:jc w:val="left"/>
      </w:pPr>
      <w:r>
        <w:rPr>
          <w:rFonts w:ascii="Arial" w:cs="Arial" w:eastAsia="Arial" w:hAnsi="Arial"/>
          <w:b/>
          <w:bCs/>
          <w:sz w:val="24"/>
          <w:szCs w:val="24"/>
        </w:rPr>
        <w:t xml:space="preserve">6. Alternativas evaluadas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500"/>
        <w:gridCol w:w="2360"/>
      </w:tblGrid>
      <w:tr>
        <w:trPr>
          <w:cantSplit/>
          <w:tblHeader/>
        </w:trPr>
        <w:tc>
          <w:tcPr>
            <w:tcW w:type="dxa" w:w="1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Opción</w:t>
            </w:r>
          </w:p>
        </w:tc>
        <w:tc>
          <w:tcPr>
            <w:tcW w:type="dxa" w:w="26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Descripción</w:t>
            </w:r>
          </w:p>
        </w:tc>
        <w:tc>
          <w:tcPr>
            <w:tcW w:type="dxa" w:w="25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Ventajas</w:t>
            </w:r>
          </w:p>
        </w:tc>
        <w:tc>
          <w:tcPr>
            <w:tcW w:type="dxa" w:w="23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Desventajas</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A (recomendada)</w:t>
            </w:r>
          </w:p>
          <w:p>
            <w:pPr>
              <w:spacing w:after="20" w:line="252"/>
              <w:jc w:val="left"/>
            </w:pPr>
            <w:r>
              <w:rPr>
                <w:rFonts w:ascii="Arial" w:cs="Arial" w:eastAsia="Arial" w:hAnsi="Arial"/>
                <w:sz w:val="19"/>
                <w:szCs w:val="19"/>
              </w:rPr>
              <w:t xml:space="preserve">MVP de AR móvil</w:t>
            </w:r>
          </w:p>
        </w:tc>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Colección piloto en AR, PWA, misma fecha, presupuesto al 80 %.</w:t>
            </w:r>
          </w:p>
        </w:tc>
        <w:tc>
          <w:tcPr>
            <w:tcW w:type="dxa" w:w="2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Cumple presupuesto y fecha; reutiliza trabajo; valida la AR con usuarios reales.</w:t>
            </w: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Catálogo inicial más corto; versión PC se pospone.</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B</w:t>
            </w:r>
          </w:p>
          <w:p>
            <w:pPr>
              <w:spacing w:after="20" w:line="252"/>
              <w:jc w:val="left"/>
            </w:pPr>
            <w:r>
              <w:rPr>
                <w:rFonts w:ascii="Arial" w:cs="Arial" w:eastAsia="Arial" w:hAnsi="Arial"/>
                <w:sz w:val="19"/>
                <w:szCs w:val="19"/>
              </w:rPr>
              <w:t xml:space="preserve">Alcance completo, nueva fecha</w:t>
            </w:r>
          </w:p>
        </w:tc>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Mantener todo el catálogo en AR móvil y mover la entrega.</w:t>
            </w:r>
          </w:p>
        </w:tc>
        <w:tc>
          <w:tcPr>
            <w:tcW w:type="dxa" w:w="2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Catálogo completo.</w:t>
            </w: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Incumple la fecha pedida; el presupuesto de −20 % no cubre el esfuerzo extra.</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C</w:t>
            </w:r>
          </w:p>
          <w:p>
            <w:pPr>
              <w:spacing w:after="20" w:line="252"/>
              <w:jc w:val="left"/>
            </w:pPr>
            <w:r>
              <w:rPr>
                <w:rFonts w:ascii="Arial" w:cs="Arial" w:eastAsia="Arial" w:hAnsi="Arial"/>
                <w:sz w:val="19"/>
                <w:szCs w:val="19"/>
              </w:rPr>
              <w:t xml:space="preserve">Alcance completo, misma fecha y −20 %</w:t>
            </w:r>
          </w:p>
        </w:tc>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Hacerlo todo con menos dinero y en el mismo plazo.</w:t>
            </w:r>
          </w:p>
        </w:tc>
        <w:tc>
          <w:tcPr>
            <w:tcW w:type="dxa" w:w="2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Aparenta cumplir todo.</w:t>
            </w: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Riesgo alto de baja calidad, errores en AR y desgaste del equipo; no es sostenible.</w:t>
            </w:r>
          </w:p>
        </w:tc>
      </w:tr>
    </w:tbl>
    <w:p>
      <w:pPr>
        <w:spacing w:after="120" w:before="120" w:line="360"/>
        <w:jc w:val="both"/>
      </w:pPr>
      <w:r>
        <w:rPr>
          <w:rFonts w:ascii="Arial" w:cs="Arial" w:eastAsia="Arial" w:hAnsi="Arial"/>
          <w:b/>
          <w:bCs/>
          <w:sz w:val="24"/>
          <w:szCs w:val="24"/>
        </w:rPr>
        <w:t xml:space="preserve">Recomendación:</w:t>
      </w:r>
      <w:r>
        <w:rPr>
          <w:rFonts w:ascii="Arial" w:cs="Arial" w:eastAsia="Arial" w:hAnsi="Arial"/>
          <w:sz w:val="24"/>
          <w:szCs w:val="24"/>
        </w:rPr>
        <w:t xml:space="preserve"> la opción A es la única que respeta simultáneamente el presupuesto, la fecha y un nivel de calidad aceptable, y deja abierta la ampliación del catálogo y la versión PC en una etapa posterior.</w:t>
      </w:r>
    </w:p>
    <w:p>
      <w:pPr>
        <w:keepNext/>
        <w:spacing w:after="120" w:before="200" w:line="360"/>
        <w:jc w:val="left"/>
      </w:pPr>
      <w:r>
        <w:rPr>
          <w:rFonts w:ascii="Arial" w:cs="Arial" w:eastAsia="Arial" w:hAnsi="Arial"/>
          <w:b/>
          <w:bCs/>
          <w:sz w:val="24"/>
          <w:szCs w:val="24"/>
        </w:rPr>
        <w:t xml:space="preserve">7. Riesgos nuevos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Riesgo</w:t>
            </w:r>
          </w:p>
        </w:tc>
        <w:tc>
          <w:tcPr>
            <w:tcW w:type="dxa" w:w="53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Mitigación</w:t>
            </w:r>
          </w:p>
        </w:tc>
      </w:tr>
      <w:tr>
        <w:trPr>
          <w:cantSplit/>
          <w:tblHeader w:val="false"/>
        </w:trPr>
        <w:tc>
          <w:tcPr>
            <w:tcW w:type="dxa" w:w="4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Compatibilidad de AR entre dispositivos y navegadores (por ejemplo, iOS no ofrece las mismas funciones web de AR que Android).</w:t>
            </w:r>
          </w:p>
        </w:tc>
        <w:tc>
          <w:tcPr>
            <w:tcW w:type="dxa" w:w="5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Probar pronto (tarea T14). Usar un enfoque con alternativa: AR en el navegador cuando esté disponible y visor de AR del sistema con USDZ en iOS. La compatibilidad vigente se valida en las pruebas.</w:t>
            </w:r>
          </w:p>
        </w:tc>
      </w:tr>
      <w:tr>
        <w:trPr>
          <w:cantSplit/>
          <w:tblHeader w:val="false"/>
        </w:trPr>
        <w:tc>
          <w:tcPr>
            <w:tcW w:type="dxa" w:w="4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Rendimiento en teléfonos de gama media por modelos pesados.</w:t>
            </w:r>
          </w:p>
        </w:tc>
        <w:tc>
          <w:tcPr>
            <w:tcW w:type="dxa" w:w="5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Optimizar modelos (formatos glTF/USDZ), comprimir texturas y cargar bajo demanda con caché.</w:t>
            </w:r>
          </w:p>
        </w:tc>
      </w:tr>
      <w:tr>
        <w:trPr>
          <w:cantSplit/>
          <w:tblHeader w:val="false"/>
        </w:trPr>
        <w:tc>
          <w:tcPr>
            <w:tcW w:type="dxa" w:w="4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Seguimiento inestable con poca luz o superficies lisas.</w:t>
            </w:r>
          </w:p>
        </w:tc>
        <w:tc>
          <w:tcPr>
            <w:tcW w:type="dxa" w:w="5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Pantalla de escaneo con guía al usuario y modo “Explorar sin AR” como respaldo.</w:t>
            </w:r>
          </w:p>
        </w:tc>
      </w:tr>
      <w:tr>
        <w:trPr>
          <w:cantSplit/>
          <w:tblHeader w:val="false"/>
        </w:trPr>
        <w:tc>
          <w:tcPr>
            <w:tcW w:type="dxa" w:w="4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Permisos de cámara rechazados por el usuario.</w:t>
            </w:r>
          </w:p>
        </w:tc>
        <w:tc>
          <w:tcPr>
            <w:tcW w:type="dxa" w:w="5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Explicar el beneficio antes de solicitar el permiso y ofrecer vista 3D alternativa.</w:t>
            </w:r>
          </w:p>
        </w:tc>
      </w:tr>
      <w:tr>
        <w:trPr>
          <w:cantSplit/>
          <w:tblHeader w:val="false"/>
        </w:trPr>
        <w:tc>
          <w:tcPr>
            <w:tcW w:type="dxa" w:w="4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Retraso en aprobación o en activos de marca del cliente.</w:t>
            </w:r>
          </w:p>
        </w:tc>
        <w:tc>
          <w:tcPr>
            <w:tcW w:type="dxa" w:w="5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Fecha límite de aprobación acordada y entregas parciales semanales para validar avance.</w:t>
            </w:r>
          </w:p>
        </w:tc>
      </w:tr>
    </w:tbl>
    <w:p>
      <w:pPr>
        <w:keepNext/>
        <w:spacing w:after="120" w:before="200" w:line="360"/>
        <w:jc w:val="left"/>
      </w:pPr>
      <w:r>
        <w:rPr>
          <w:rFonts w:ascii="Arial" w:cs="Arial" w:eastAsia="Arial" w:hAnsi="Arial"/>
          <w:b/>
          <w:bCs/>
          <w:sz w:val="24"/>
          <w:szCs w:val="24"/>
        </w:rPr>
        <w:t xml:space="preserve">8. Supuestos y condiciones</w:t>
      </w:r>
    </w:p>
    <w:p>
      <w:pPr>
        <w:pStyle w:val="ListParagraph"/>
        <w:numPr>
          <w:ilvl w:val="0"/>
          <w:numId w:val="2"/>
        </w:numPr>
        <w:spacing w:after="60" w:line="360"/>
        <w:jc w:val="both"/>
      </w:pPr>
      <w:r>
        <w:rPr>
          <w:rFonts w:ascii="Arial" w:cs="Arial" w:eastAsia="Arial" w:hAnsi="Arial"/>
          <w:sz w:val="24"/>
          <w:szCs w:val="24"/>
        </w:rPr>
        <w:t xml:space="preserve">La colección piloto se define en conjunto con el cliente en el menor tiempo posible, para no afectar la ruta crítica.</w:t>
      </w:r>
    </w:p>
    <w:p>
      <w:pPr>
        <w:pStyle w:val="ListParagraph"/>
        <w:numPr>
          <w:ilvl w:val="0"/>
          <w:numId w:val="2"/>
        </w:numPr>
        <w:spacing w:after="60" w:line="360"/>
        <w:jc w:val="both"/>
      </w:pPr>
      <w:r>
        <w:rPr>
          <w:rFonts w:ascii="Arial" w:cs="Arial" w:eastAsia="Arial" w:hAnsi="Arial"/>
          <w:sz w:val="24"/>
          <w:szCs w:val="24"/>
        </w:rPr>
        <w:t xml:space="preserve">El cliente entrega a tiempo los activos de marca (logotipos, material visual y datos de producto).</w:t>
      </w:r>
    </w:p>
    <w:p>
      <w:pPr>
        <w:pStyle w:val="ListParagraph"/>
        <w:numPr>
          <w:ilvl w:val="0"/>
          <w:numId w:val="2"/>
        </w:numPr>
        <w:spacing w:after="60" w:line="360"/>
        <w:jc w:val="both"/>
      </w:pPr>
      <w:r>
        <w:rPr>
          <w:rFonts w:ascii="Arial" w:cs="Arial" w:eastAsia="Arial" w:hAnsi="Arial"/>
          <w:sz w:val="24"/>
          <w:szCs w:val="24"/>
        </w:rPr>
        <w:t xml:space="preserve">Cualquier ampliación posterior del alcance requiere una nueva solicitud de cambio.</w:t>
      </w:r>
    </w:p>
    <w:p>
      <w:pPr>
        <w:pStyle w:val="ListParagraph"/>
        <w:numPr>
          <w:ilvl w:val="0"/>
          <w:numId w:val="2"/>
        </w:numPr>
        <w:spacing w:after="60" w:line="360"/>
        <w:jc w:val="both"/>
      </w:pPr>
      <w:r>
        <w:rPr>
          <w:rFonts w:ascii="Arial" w:cs="Arial" w:eastAsia="Arial" w:hAnsi="Arial"/>
          <w:sz w:val="24"/>
          <w:szCs w:val="24"/>
        </w:rPr>
        <w:t xml:space="preserve">La versión PC se retoma como una etapa posterior, con presupuesto y cronograma propios.</w:t>
      </w:r>
    </w:p>
    <w:p>
      <w:pPr>
        <w:keepNext/>
        <w:spacing w:after="120" w:before="200" w:line="360"/>
        <w:jc w:val="left"/>
      </w:pPr>
      <w:r>
        <w:rPr>
          <w:rFonts w:ascii="Arial" w:cs="Arial" w:eastAsia="Arial" w:hAnsi="Arial"/>
          <w:b/>
          <w:bCs/>
          <w:sz w:val="24"/>
          <w:szCs w:val="24"/>
        </w:rPr>
        <w:t xml:space="preserve">9. Aprobaciones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2360"/>
        <w:gridCol w:w="1400"/>
      </w:tblGrid>
      <w:tr>
        <w:trPr>
          <w:cantSplit/>
          <w:tblHeader/>
        </w:trPr>
        <w:tc>
          <w:tcPr>
            <w:tcW w:type="dxa" w:w="21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Rol</w:t>
            </w:r>
          </w:p>
        </w:tc>
        <w:tc>
          <w:tcPr>
            <w:tcW w:type="dxa" w:w="35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Nombre</w:t>
            </w:r>
          </w:p>
        </w:tc>
        <w:tc>
          <w:tcPr>
            <w:tcW w:type="dxa" w:w="23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Firma</w:t>
            </w:r>
          </w:p>
        </w:tc>
        <w:tc>
          <w:tcPr>
            <w:tcW w:type="dxa" w:w="14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Fecha</w:t>
            </w:r>
          </w:p>
        </w:tc>
      </w:tr>
      <w:tr>
        <w:trPr>
          <w:cantSplit/>
          <w:tblHeader w:val="false"/>
        </w:trPr>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Cliente</w:t>
            </w:r>
          </w:p>
        </w:tc>
        <w:tc>
          <w:tcPr>
            <w:tcW w:type="dxa" w:w="3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p>
            <w:pPr>
              <w:spacing w:after="20" w:line="252"/>
              <w:jc w:val="left"/>
            </w:pP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p>
            <w:pPr>
              <w:spacing w:after="20" w:line="252"/>
              <w:jc w:val="left"/>
            </w:pP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tc>
      </w:tr>
      <w:tr>
        <w:trPr>
          <w:cantSplit/>
          <w:tblHeader w:val="false"/>
        </w:trPr>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Líder de proyecto</w:t>
            </w:r>
          </w:p>
        </w:tc>
        <w:tc>
          <w:tcPr>
            <w:tcW w:type="dxa" w:w="3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Diego Alberto Martínez Ovalle</w:t>
            </w: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p>
            <w:pPr>
              <w:spacing w:after="20" w:line="252"/>
              <w:jc w:val="left"/>
            </w:pP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tc>
      </w:tr>
      <w:tr>
        <w:trPr>
          <w:cantSplit/>
          <w:tblHeader w:val="false"/>
        </w:trPr>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Desarrollo 3D/AR</w:t>
            </w:r>
          </w:p>
        </w:tc>
        <w:tc>
          <w:tcPr>
            <w:tcW w:type="dxa" w:w="3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Alan Dibenhi Ledezma Hernández</w:t>
            </w: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p>
            <w:pPr>
              <w:spacing w:after="20" w:line="252"/>
              <w:jc w:val="left"/>
            </w:pP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tc>
      </w:tr>
      <w:tr>
        <w:trPr>
          <w:cantSplit/>
          <w:tblHeader w:val="false"/>
        </w:trPr>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UX/UI y calidad</w:t>
            </w:r>
          </w:p>
        </w:tc>
        <w:tc>
          <w:tcPr>
            <w:tcW w:type="dxa" w:w="3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Angel Gabriel Ortega Segura</w:t>
            </w: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p>
            <w:pPr>
              <w:spacing w:after="20" w:line="252"/>
              <w:jc w:val="left"/>
            </w:pP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2026-10-19T07:00:02.161Z</dcterms:created>
  <dcterms:modified xsi:type="dcterms:W3CDTF">2026-10-19T07:00:02.161Z</dcterms:modified>
</cp:coreProperties>
</file>

<file path=docProps/custom.xml><?xml version="1.0" encoding="utf-8"?>
<Properties xmlns="http://schemas.openxmlformats.org/officeDocument/2006/custom-properties" xmlns:vt="http://schemas.openxmlformats.org/officeDocument/2006/docPropsVTypes"/>
</file>