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Eason, MITSUHASHI ATSUSHI_MC64292</w:t>
      </w:r>
    </w:p>
    <w:p w:rsidR="00000000" w:rsidDel="00000000" w:rsidP="00000000" w:rsidRDefault="00000000" w:rsidRPr="00000000" w14:paraId="0000000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Elfrida, WONG HO I_MC64268</w:t>
      </w:r>
    </w:p>
    <w:p w:rsidR="00000000" w:rsidDel="00000000" w:rsidP="00000000" w:rsidRDefault="00000000" w:rsidRPr="00000000" w14:paraId="0000000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CISC7204_Data Science and Data Visualization_Project Proposal</w:t>
      </w:r>
    </w:p>
    <w:p w:rsidR="00000000" w:rsidDel="00000000" w:rsidP="00000000" w:rsidRDefault="00000000" w:rsidRPr="00000000" w14:paraId="00000004">
      <w:pPr>
        <w:jc w:val="both"/>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Project Title</w:t>
      </w:r>
      <w:r w:rsidDel="00000000" w:rsidR="00000000" w:rsidRPr="00000000">
        <w:rPr>
          <w:rtl w:val="0"/>
        </w:rPr>
      </w:r>
    </w:p>
    <w:tbl>
      <w:tblPr>
        <w:tblStyle w:val="Table1"/>
        <w:tblW w:w="9630.0" w:type="dxa"/>
        <w:jc w:val="left"/>
        <w:tblInd w:w="-6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070"/>
        <w:gridCol w:w="7560"/>
        <w:tblGridChange w:id="0">
          <w:tblGrid>
            <w:gridCol w:w="2070"/>
            <w:gridCol w:w="7560"/>
          </w:tblGrid>
        </w:tblGridChange>
      </w:tblGrid>
      <w:tr>
        <w:trPr>
          <w:cantSplit w:val="0"/>
          <w:trHeight w:val="587.373046875" w:hRule="atLeast"/>
          <w:tblHeader w:val="0"/>
        </w:trPr>
        <w:tc>
          <w:tcPr>
            <w:tcBorders>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Topic</w:t>
            </w:r>
          </w:p>
        </w:tc>
        <w:tc>
          <w:tcPr>
            <w:tcBorders>
              <w:left w:color="000000" w:space="0" w:sz="8" w:val="single"/>
              <w:bottom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Tourism Recovery and Employment Conditions in Macao after COVID-19</w:t>
            </w:r>
          </w:p>
        </w:tc>
      </w:tr>
      <w:tr>
        <w:trPr>
          <w:cantSplit w:val="0"/>
          <w:trHeight w:val="881.953125" w:hRule="atLeast"/>
          <w:tblHeader w:val="0"/>
        </w:trPr>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Question</w:t>
            </w:r>
          </w:p>
        </w:tc>
        <w:tc>
          <w:tcPr>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there a relationship between visitor arrivals and unemployment rates in Macao during the post-pandemic recovery period?</w:t>
            </w:r>
          </w:p>
        </w:tc>
      </w:tr>
      <w:tr>
        <w:trPr>
          <w:cantSplit w:val="0"/>
          <w:trHeight w:val="665.9765625" w:hRule="atLeast"/>
          <w:tblHeader w:val="0"/>
        </w:trPr>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w:t>
            </w:r>
          </w:p>
        </w:tc>
        <w:tc>
          <w:tcPr>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Macao Special Administrative Region (SAR), China</w:t>
            </w:r>
          </w:p>
        </w:tc>
      </w:tr>
      <w:tr>
        <w:trPr>
          <w:cantSplit w:val="0"/>
          <w:trHeight w:val="560.9765625" w:hRule="atLeast"/>
          <w:tblHeader w:val="0"/>
        </w:trPr>
        <w:tc>
          <w:tcPr>
            <w:tcBorders>
              <w:top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Category</w:t>
            </w:r>
          </w:p>
        </w:tc>
        <w:tc>
          <w:tcPr>
            <w:tcBorders>
              <w:top w:color="000000" w:space="0" w:sz="8" w:val="single"/>
              <w:lef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Tourism and Employment </w:t>
            </w:r>
          </w:p>
        </w:tc>
      </w:tr>
    </w:tbl>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Purpose</w:t>
      </w:r>
    </w:p>
    <w:p w:rsidR="00000000" w:rsidDel="00000000" w:rsidP="00000000" w:rsidRDefault="00000000" w:rsidRPr="00000000" w14:paraId="00000010">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Outcomes</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supports the learning outcomes of the Data Science and Visualization course by applying data analysis and visualization techniques to a real-world issue. The project will give us practical experience using data to investigate economic and social trends, which will support future academic studies and careers in data analysis, business intelligence, marketing analytics, and decision-making.</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Skills</w:t>
      </w: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will help us practice the following skills:</w:t>
      </w:r>
    </w:p>
    <w:p w:rsidR="00000000" w:rsidDel="00000000" w:rsidP="00000000" w:rsidRDefault="00000000" w:rsidRPr="00000000" w14:paraId="00000015">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Collecting and evaluating public datasets</w:t>
      </w:r>
    </w:p>
    <w:p w:rsidR="00000000" w:rsidDel="00000000" w:rsidP="00000000" w:rsidRDefault="00000000" w:rsidRPr="00000000" w14:paraId="00000016">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 and preparation</w:t>
      </w:r>
    </w:p>
    <w:p w:rsidR="00000000" w:rsidDel="00000000" w:rsidP="00000000" w:rsidRDefault="00000000" w:rsidRPr="00000000" w14:paraId="00000017">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w:t>
      </w:r>
    </w:p>
    <w:p w:rsidR="00000000" w:rsidDel="00000000" w:rsidP="00000000" w:rsidRDefault="00000000" w:rsidRPr="00000000" w14:paraId="00000018">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visualization using Python</w:t>
      </w:r>
    </w:p>
    <w:p w:rsidR="00000000" w:rsidDel="00000000" w:rsidP="00000000" w:rsidRDefault="00000000" w:rsidRPr="00000000" w14:paraId="00000019">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Interpreting statistical relationships</w:t>
      </w:r>
    </w:p>
    <w:p w:rsidR="00000000" w:rsidDel="00000000" w:rsidP="00000000" w:rsidRDefault="00000000" w:rsidRPr="00000000" w14:paraId="0000001A">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Communicating findings through visual storytelling</w:t>
      </w:r>
    </w:p>
    <w:p w:rsidR="00000000" w:rsidDel="00000000" w:rsidP="00000000" w:rsidRDefault="00000000" w:rsidRPr="00000000" w14:paraId="0000001B">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Knowledge</w:t>
      </w: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will help us become familiar with:</w:t>
      </w:r>
    </w:p>
    <w:p w:rsidR="00000000" w:rsidDel="00000000" w:rsidP="00000000" w:rsidRDefault="00000000" w:rsidRPr="00000000" w14:paraId="0000001E">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Tourism statistics in Macao</w:t>
      </w:r>
    </w:p>
    <w:p w:rsidR="00000000" w:rsidDel="00000000" w:rsidP="00000000" w:rsidRDefault="00000000" w:rsidRPr="00000000" w14:paraId="0000001F">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Employment and unemployment indicators</w:t>
      </w:r>
    </w:p>
    <w:p w:rsidR="00000000" w:rsidDel="00000000" w:rsidP="00000000" w:rsidRDefault="00000000" w:rsidRPr="00000000" w14:paraId="00000020">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recovery after COVID-19</w:t>
      </w:r>
    </w:p>
    <w:p w:rsidR="00000000" w:rsidDel="00000000" w:rsidP="00000000" w:rsidRDefault="00000000" w:rsidRPr="00000000" w14:paraId="00000021">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 and trend analysis</w:t>
      </w:r>
    </w:p>
    <w:p w:rsidR="00000000" w:rsidDel="00000000" w:rsidP="00000000" w:rsidRDefault="00000000" w:rsidRPr="00000000" w14:paraId="00000022">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Visualization techniques for time-series data</w:t>
      </w:r>
      <w:r w:rsidDel="00000000" w:rsidR="00000000" w:rsidRPr="00000000">
        <w:br w:type="page"/>
      </w:r>
      <w:r w:rsidDel="00000000" w:rsidR="00000000" w:rsidRPr="00000000">
        <w:rPr>
          <w:rtl w:val="0"/>
        </w:rPr>
      </w:r>
    </w:p>
    <w:p w:rsidR="00000000" w:rsidDel="00000000" w:rsidP="00000000" w:rsidRDefault="00000000" w:rsidRPr="00000000" w14:paraId="00000023">
      <w:pPr>
        <w:ind w:left="0" w:firstLine="0"/>
        <w:jc w:val="both"/>
        <w:rPr/>
      </w:pPr>
      <w:r w:rsidDel="00000000" w:rsidR="00000000" w:rsidRPr="00000000">
        <w:rPr>
          <w:rFonts w:ascii="Times New Roman" w:cs="Times New Roman" w:eastAsia="Times New Roman" w:hAnsi="Times New Roman"/>
          <w:b w:val="1"/>
          <w:bCs w:val="1"/>
          <w:sz w:val="28"/>
          <w:szCs w:val="28"/>
          <w:rtl w:val="0"/>
        </w:rPr>
        <w:t xml:space="preserve">Tasks</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2"/>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5730"/>
        <w:gridCol w:w="2835"/>
        <w:tblGridChange w:id="0">
          <w:tblGrid>
            <w:gridCol w:w="705"/>
            <w:gridCol w:w="5730"/>
            <w:gridCol w:w="2835"/>
          </w:tblGrid>
        </w:tblGridChange>
      </w:tblGrid>
      <w:tr>
        <w:trPr>
          <w:cantSplit w:val="0"/>
          <w:trHeight w:val="405" w:hRule="atLeast"/>
          <w:tblHeader w:val="1"/>
        </w:trPr>
        <w:tc>
          <w:tcPr>
            <w:tcBorders>
              <w:top w:color="d9d9d9" w:space="0" w:sz="5" w:val="single"/>
              <w:left w:color="d9d9d9" w:space="0" w:sz="5" w:val="single"/>
              <w:bottom w:color="d9d9d9" w:space="0" w:sz="5" w:val="single"/>
              <w:right w:color="d9d9d9" w:space="0" w:sz="5" w:val="single"/>
            </w:tcBorders>
            <w:tcMar>
              <w:left w:w="120.0" w:type="dxa"/>
              <w:right w:w="120.0" w:type="dxa"/>
            </w:tcMar>
          </w:tcPr>
          <w:p w:rsidR="00000000" w:rsidDel="00000000" w:rsidP="00000000" w:rsidRDefault="00000000" w:rsidRPr="00000000" w14:paraId="00000025">
            <w:pPr>
              <w:spacing w:line="252.00000000000003"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Step</w:t>
            </w:r>
            <w:r w:rsidDel="00000000" w:rsidR="00000000" w:rsidRPr="00000000">
              <w:rPr>
                <w:rtl w:val="0"/>
              </w:rPr>
            </w:r>
          </w:p>
        </w:tc>
        <w:tc>
          <w:tcPr>
            <w:tcBorders>
              <w:top w:color="d9d9d9" w:space="0" w:sz="5" w:val="single"/>
              <w:left w:color="000000" w:space="0" w:sz="0" w:val="nil"/>
              <w:bottom w:color="d9d9d9" w:space="0" w:sz="5" w:val="single"/>
              <w:right w:color="d9d9d9" w:space="0" w:sz="5" w:val="single"/>
            </w:tcBorders>
            <w:tcMar>
              <w:left w:w="120.0" w:type="dxa"/>
              <w:right w:w="120.0" w:type="dxa"/>
            </w:tcMar>
          </w:tcPr>
          <w:p w:rsidR="00000000" w:rsidDel="00000000" w:rsidP="00000000" w:rsidRDefault="00000000" w:rsidRPr="00000000" w14:paraId="00000026">
            <w:pPr>
              <w:spacing w:line="252.00000000000003"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Task</w:t>
            </w:r>
            <w:r w:rsidDel="00000000" w:rsidR="00000000" w:rsidRPr="00000000">
              <w:rPr>
                <w:rtl w:val="0"/>
              </w:rPr>
            </w:r>
          </w:p>
        </w:tc>
        <w:tc>
          <w:tcPr>
            <w:tcBorders>
              <w:top w:color="d9d9d9" w:space="0" w:sz="5" w:val="single"/>
              <w:left w:color="000000" w:space="0" w:sz="0" w:val="nil"/>
              <w:bottom w:color="d9d9d9" w:space="0" w:sz="5" w:val="single"/>
              <w:right w:color="d9d9d9" w:space="0" w:sz="5" w:val="single"/>
            </w:tcBorders>
            <w:tcMar>
              <w:left w:w="120.0" w:type="dxa"/>
              <w:right w:w="120.0" w:type="dxa"/>
            </w:tcMar>
          </w:tcPr>
          <w:p w:rsidR="00000000" w:rsidDel="00000000" w:rsidP="00000000" w:rsidRDefault="00000000" w:rsidRPr="00000000" w14:paraId="00000027">
            <w:pPr>
              <w:spacing w:line="252.00000000000003"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Deliverable</w:t>
            </w:r>
            <w:r w:rsidDel="00000000" w:rsidR="00000000" w:rsidRPr="00000000">
              <w:rPr>
                <w:rtl w:val="0"/>
              </w:rPr>
            </w:r>
          </w:p>
        </w:tc>
      </w:tr>
      <w:tr>
        <w:trPr>
          <w:cantSplit w:val="0"/>
          <w:trHeight w:val="405" w:hRule="atLeast"/>
          <w:tblHeader w:val="0"/>
        </w:trPr>
        <w:tc>
          <w:tcPr>
            <w:tcBorders>
              <w:top w:color="000000" w:space="0" w:sz="0" w:val="nil"/>
              <w:left w:color="d9d9d9" w:space="0" w:sz="5" w:val="single"/>
              <w:bottom w:color="d9d9d9" w:space="0" w:sz="5" w:val="single"/>
              <w:right w:color="d9d9d9" w:space="0" w:sz="5" w:val="single"/>
            </w:tcBorders>
            <w:tcMar>
              <w:left w:w="120.0" w:type="dxa"/>
              <w:right w:w="120.0" w:type="dxa"/>
            </w:tcMar>
          </w:tcPr>
          <w:p w:rsidR="00000000" w:rsidDel="00000000" w:rsidP="00000000" w:rsidRDefault="00000000" w:rsidRPr="00000000" w14:paraId="00000028">
            <w:pPr>
              <w:spacing w:line="252.00000000000003" w:lineRule="auto"/>
              <w:jc w:val="both"/>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0" w:val="nil"/>
              <w:left w:color="000000" w:space="0" w:sz="0" w:val="nil"/>
              <w:bottom w:color="d9d9d9" w:space="0" w:sz="5" w:val="single"/>
              <w:right w:color="d9d9d9" w:space="0" w:sz="5" w:val="single"/>
            </w:tcBorders>
            <w:tcMar>
              <w:left w:w="120.0" w:type="dxa"/>
              <w:right w:w="120.0" w:type="dxa"/>
            </w:tcMar>
          </w:tcPr>
          <w:p w:rsidR="00000000" w:rsidDel="00000000" w:rsidP="00000000" w:rsidRDefault="00000000" w:rsidRPr="00000000" w14:paraId="00000029">
            <w:pPr>
              <w:spacing w:line="252.00000000000003" w:lineRule="auto"/>
              <w:jc w:val="both"/>
              <w:rPr/>
            </w:pPr>
            <w:r w:rsidDel="00000000" w:rsidR="00000000" w:rsidRPr="00000000">
              <w:rPr>
                <w:rFonts w:ascii="Times New Roman" w:cs="Times New Roman" w:eastAsia="Times New Roman" w:hAnsi="Times New Roman"/>
                <w:sz w:val="24"/>
                <w:szCs w:val="24"/>
                <w:rtl w:val="0"/>
              </w:rPr>
              <w:t xml:space="preserve">Collect monthly visitor-arrival data and quarterly general unemployment-rate data for 2020–2025 from the Macao Statistics and Census Service (DSEC). Record the source, unit and definition of each indicator.</w:t>
            </w:r>
            <w:r w:rsidDel="00000000" w:rsidR="00000000" w:rsidRPr="00000000">
              <w:rPr>
                <w:rtl w:val="0"/>
              </w:rPr>
            </w:r>
          </w:p>
        </w:tc>
        <w:tc>
          <w:tcPr>
            <w:tcBorders>
              <w:top w:color="000000" w:space="0" w:sz="0" w:val="nil"/>
              <w:left w:color="000000" w:space="0" w:sz="0" w:val="nil"/>
              <w:bottom w:color="d9d9d9" w:space="0" w:sz="5" w:val="single"/>
              <w:right w:color="d9d9d9" w:space="0" w:sz="5" w:val="single"/>
            </w:tcBorders>
            <w:tcMar>
              <w:left w:w="120.0" w:type="dxa"/>
              <w:right w:w="120.0" w:type="dxa"/>
            </w:tcMar>
          </w:tcPr>
          <w:p w:rsidR="00000000" w:rsidDel="00000000" w:rsidP="00000000" w:rsidRDefault="00000000" w:rsidRPr="00000000" w14:paraId="0000002A">
            <w:pPr>
              <w:spacing w:line="252.00000000000003" w:lineRule="auto"/>
              <w:rPr/>
            </w:pPr>
            <w:r w:rsidDel="00000000" w:rsidR="00000000" w:rsidRPr="00000000">
              <w:rPr>
                <w:rFonts w:ascii="Times New Roman" w:cs="Times New Roman" w:eastAsia="Times New Roman" w:hAnsi="Times New Roman"/>
                <w:sz w:val="24"/>
                <w:szCs w:val="24"/>
                <w:rtl w:val="0"/>
              </w:rPr>
              <w:t xml:space="preserve">Source worksheet and raw datasets</w:t>
            </w:r>
            <w:r w:rsidDel="00000000" w:rsidR="00000000" w:rsidRPr="00000000">
              <w:rPr>
                <w:rtl w:val="0"/>
              </w:rPr>
            </w:r>
          </w:p>
        </w:tc>
      </w:tr>
      <w:tr>
        <w:trPr>
          <w:cantSplit w:val="0"/>
          <w:trHeight w:val="405" w:hRule="atLeast"/>
          <w:tblHeader w:val="0"/>
        </w:trPr>
        <w:tc>
          <w:tcPr>
            <w:tcBorders>
              <w:top w:color="000000" w:space="0" w:sz="0" w:val="nil"/>
              <w:left w:color="d9d9d9" w:space="0" w:sz="5" w:val="single"/>
              <w:bottom w:color="d9d9d9" w:space="0" w:sz="5" w:val="single"/>
              <w:right w:color="d9d9d9" w:space="0" w:sz="5" w:val="single"/>
            </w:tcBorders>
            <w:tcMar>
              <w:left w:w="120.0" w:type="dxa"/>
              <w:right w:w="120.0" w:type="dxa"/>
            </w:tcMar>
          </w:tcPr>
          <w:p w:rsidR="00000000" w:rsidDel="00000000" w:rsidP="00000000" w:rsidRDefault="00000000" w:rsidRPr="00000000" w14:paraId="0000002B">
            <w:pPr>
              <w:spacing w:line="252.00000000000003" w:lineRule="auto"/>
              <w:jc w:val="both"/>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0" w:val="nil"/>
              <w:left w:color="000000" w:space="0" w:sz="0" w:val="nil"/>
              <w:bottom w:color="d9d9d9" w:space="0" w:sz="5" w:val="single"/>
              <w:right w:color="d9d9d9" w:space="0" w:sz="5" w:val="single"/>
            </w:tcBorders>
            <w:tcMar>
              <w:left w:w="120.0" w:type="dxa"/>
              <w:right w:w="120.0" w:type="dxa"/>
            </w:tcMar>
          </w:tcPr>
          <w:p w:rsidR="00000000" w:rsidDel="00000000" w:rsidP="00000000" w:rsidRDefault="00000000" w:rsidRPr="00000000" w14:paraId="0000002C">
            <w:pPr>
              <w:spacing w:line="252.00000000000003" w:lineRule="auto"/>
              <w:jc w:val="both"/>
              <w:rPr/>
            </w:pPr>
            <w:r w:rsidDel="00000000" w:rsidR="00000000" w:rsidRPr="00000000">
              <w:rPr>
                <w:rFonts w:ascii="Times New Roman" w:cs="Times New Roman" w:eastAsia="Times New Roman" w:hAnsi="Times New Roman"/>
                <w:sz w:val="24"/>
                <w:szCs w:val="24"/>
                <w:rtl w:val="0"/>
              </w:rPr>
              <w:t xml:space="preserve">Convert monthly visitor arrivals into quarterly totals. Standardize quarter labels, numeric formats and units, and check for missing or duplicate observations.</w:t>
            </w:r>
            <w:r w:rsidDel="00000000" w:rsidR="00000000" w:rsidRPr="00000000">
              <w:rPr>
                <w:rtl w:val="0"/>
              </w:rPr>
            </w:r>
          </w:p>
        </w:tc>
        <w:tc>
          <w:tcPr>
            <w:tcBorders>
              <w:top w:color="000000" w:space="0" w:sz="0" w:val="nil"/>
              <w:left w:color="000000" w:space="0" w:sz="0" w:val="nil"/>
              <w:bottom w:color="d9d9d9" w:space="0" w:sz="5" w:val="single"/>
              <w:right w:color="d9d9d9" w:space="0" w:sz="5" w:val="single"/>
            </w:tcBorders>
            <w:tcMar>
              <w:left w:w="120.0" w:type="dxa"/>
              <w:right w:w="120.0" w:type="dxa"/>
            </w:tcMar>
          </w:tcPr>
          <w:p w:rsidR="00000000" w:rsidDel="00000000" w:rsidP="00000000" w:rsidRDefault="00000000" w:rsidRPr="00000000" w14:paraId="0000002D">
            <w:pPr>
              <w:spacing w:line="252.00000000000003" w:lineRule="auto"/>
              <w:rPr/>
            </w:pPr>
            <w:r w:rsidDel="00000000" w:rsidR="00000000" w:rsidRPr="00000000">
              <w:rPr>
                <w:rFonts w:ascii="Times New Roman" w:cs="Times New Roman" w:eastAsia="Times New Roman" w:hAnsi="Times New Roman"/>
                <w:sz w:val="24"/>
                <w:szCs w:val="24"/>
                <w:rtl w:val="0"/>
              </w:rPr>
              <w:t xml:space="preserve">Clean tourism and employment worksheets</w:t>
            </w:r>
            <w:r w:rsidDel="00000000" w:rsidR="00000000" w:rsidRPr="00000000">
              <w:rPr>
                <w:rtl w:val="0"/>
              </w:rPr>
            </w:r>
          </w:p>
        </w:tc>
      </w:tr>
      <w:tr>
        <w:trPr>
          <w:cantSplit w:val="0"/>
          <w:trHeight w:val="405" w:hRule="atLeast"/>
          <w:tblHeader w:val="0"/>
        </w:trPr>
        <w:tc>
          <w:tcPr>
            <w:tcBorders>
              <w:top w:color="000000" w:space="0" w:sz="0" w:val="nil"/>
              <w:left w:color="d9d9d9" w:space="0" w:sz="5" w:val="single"/>
              <w:bottom w:color="d9d9d9" w:space="0" w:sz="5" w:val="single"/>
              <w:right w:color="d9d9d9" w:space="0" w:sz="5" w:val="single"/>
            </w:tcBorders>
            <w:tcMar>
              <w:left w:w="120.0" w:type="dxa"/>
              <w:right w:w="120.0" w:type="dxa"/>
            </w:tcMar>
          </w:tcPr>
          <w:p w:rsidR="00000000" w:rsidDel="00000000" w:rsidP="00000000" w:rsidRDefault="00000000" w:rsidRPr="00000000" w14:paraId="0000002E">
            <w:pPr>
              <w:spacing w:line="252.00000000000003" w:lineRule="auto"/>
              <w:jc w:val="both"/>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0" w:val="nil"/>
              <w:left w:color="000000" w:space="0" w:sz="0" w:val="nil"/>
              <w:bottom w:color="d9d9d9" w:space="0" w:sz="5" w:val="single"/>
              <w:right w:color="d9d9d9" w:space="0" w:sz="5" w:val="single"/>
            </w:tcBorders>
            <w:tcMar>
              <w:left w:w="120.0" w:type="dxa"/>
              <w:right w:w="120.0" w:type="dxa"/>
            </w:tcMar>
          </w:tcPr>
          <w:p w:rsidR="00000000" w:rsidDel="00000000" w:rsidP="00000000" w:rsidRDefault="00000000" w:rsidRPr="00000000" w14:paraId="0000002F">
            <w:pPr>
              <w:spacing w:line="252.00000000000003" w:lineRule="auto"/>
              <w:jc w:val="both"/>
              <w:rPr/>
            </w:pPr>
            <w:r w:rsidDel="00000000" w:rsidR="00000000" w:rsidRPr="00000000">
              <w:rPr>
                <w:rFonts w:ascii="Times New Roman" w:cs="Times New Roman" w:eastAsia="Times New Roman" w:hAnsi="Times New Roman"/>
                <w:sz w:val="24"/>
                <w:szCs w:val="24"/>
                <w:rtl w:val="0"/>
              </w:rPr>
              <w:t xml:space="preserve">Join the two datasets by quarter to create 24 matched observations from 2020 Q1 to 2025 Q4. Prepare a data dictionary explaining the variables and processing steps.</w:t>
            </w:r>
            <w:r w:rsidDel="00000000" w:rsidR="00000000" w:rsidRPr="00000000">
              <w:rPr>
                <w:rtl w:val="0"/>
              </w:rPr>
            </w:r>
          </w:p>
        </w:tc>
        <w:tc>
          <w:tcPr>
            <w:tcBorders>
              <w:top w:color="000000" w:space="0" w:sz="0" w:val="nil"/>
              <w:left w:color="000000" w:space="0" w:sz="0" w:val="nil"/>
              <w:bottom w:color="d9d9d9" w:space="0" w:sz="5" w:val="single"/>
              <w:right w:color="d9d9d9" w:space="0" w:sz="5" w:val="single"/>
            </w:tcBorders>
            <w:tcMar>
              <w:left w:w="120.0" w:type="dxa"/>
              <w:right w:w="120.0" w:type="dxa"/>
            </w:tcMar>
          </w:tcPr>
          <w:p w:rsidR="00000000" w:rsidDel="00000000" w:rsidP="00000000" w:rsidRDefault="00000000" w:rsidRPr="00000000" w14:paraId="00000030">
            <w:pPr>
              <w:spacing w:line="252.00000000000003" w:lineRule="auto"/>
              <w:rPr/>
            </w:pPr>
            <w:r w:rsidDel="00000000" w:rsidR="00000000" w:rsidRPr="00000000">
              <w:rPr>
                <w:rFonts w:ascii="Times New Roman" w:cs="Times New Roman" w:eastAsia="Times New Roman" w:hAnsi="Times New Roman"/>
                <w:sz w:val="24"/>
                <w:szCs w:val="24"/>
                <w:rtl w:val="0"/>
              </w:rPr>
              <w:t xml:space="preserve">Combined analysis dataset and data dictionary</w:t>
            </w:r>
            <w:r w:rsidDel="00000000" w:rsidR="00000000" w:rsidRPr="00000000">
              <w:rPr>
                <w:rtl w:val="0"/>
              </w:rPr>
            </w:r>
          </w:p>
        </w:tc>
      </w:tr>
      <w:tr>
        <w:trPr>
          <w:cantSplit w:val="0"/>
          <w:trHeight w:val="405" w:hRule="atLeast"/>
          <w:tblHeader w:val="0"/>
        </w:trPr>
        <w:tc>
          <w:tcPr>
            <w:tcBorders>
              <w:top w:color="000000" w:space="0" w:sz="0" w:val="nil"/>
              <w:left w:color="d9d9d9" w:space="0" w:sz="5" w:val="single"/>
              <w:bottom w:color="d9d9d9" w:space="0" w:sz="5" w:val="single"/>
              <w:right w:color="d9d9d9" w:space="0" w:sz="5" w:val="single"/>
            </w:tcBorders>
            <w:tcMar>
              <w:left w:w="120.0" w:type="dxa"/>
              <w:right w:w="120.0" w:type="dxa"/>
            </w:tcMar>
          </w:tcPr>
          <w:p w:rsidR="00000000" w:rsidDel="00000000" w:rsidP="00000000" w:rsidRDefault="00000000" w:rsidRPr="00000000" w14:paraId="00000031">
            <w:pPr>
              <w:spacing w:line="252.00000000000003" w:lineRule="auto"/>
              <w:jc w:val="both"/>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0" w:val="nil"/>
              <w:left w:color="000000" w:space="0" w:sz="0" w:val="nil"/>
              <w:bottom w:color="d9d9d9" w:space="0" w:sz="5" w:val="single"/>
              <w:right w:color="d9d9d9" w:space="0" w:sz="5" w:val="single"/>
            </w:tcBorders>
            <w:tcMar>
              <w:left w:w="120.0" w:type="dxa"/>
              <w:right w:w="120.0" w:type="dxa"/>
            </w:tcMar>
          </w:tcPr>
          <w:p w:rsidR="00000000" w:rsidDel="00000000" w:rsidP="00000000" w:rsidRDefault="00000000" w:rsidRPr="00000000" w14:paraId="00000032">
            <w:pPr>
              <w:spacing w:line="252.00000000000003" w:lineRule="auto"/>
              <w:jc w:val="both"/>
              <w:rPr/>
            </w:pPr>
            <w:r w:rsidDel="00000000" w:rsidR="00000000" w:rsidRPr="00000000">
              <w:rPr>
                <w:rFonts w:ascii="Times New Roman" w:cs="Times New Roman" w:eastAsia="Times New Roman" w:hAnsi="Times New Roman"/>
                <w:sz w:val="24"/>
                <w:szCs w:val="24"/>
                <w:rtl w:val="0"/>
              </w:rPr>
              <w:t xml:space="preserve">Calculate quarterly totals, averages, minimums, maximums and percentage changes to compare the pandemic and recovery periods.</w:t>
            </w:r>
            <w:r w:rsidDel="00000000" w:rsidR="00000000" w:rsidRPr="00000000">
              <w:rPr>
                <w:rtl w:val="0"/>
              </w:rPr>
            </w:r>
          </w:p>
        </w:tc>
        <w:tc>
          <w:tcPr>
            <w:tcBorders>
              <w:top w:color="000000" w:space="0" w:sz="0" w:val="nil"/>
              <w:left w:color="000000" w:space="0" w:sz="0" w:val="nil"/>
              <w:bottom w:color="d9d9d9" w:space="0" w:sz="5" w:val="single"/>
              <w:right w:color="d9d9d9" w:space="0" w:sz="5" w:val="single"/>
            </w:tcBorders>
            <w:tcMar>
              <w:left w:w="120.0" w:type="dxa"/>
              <w:right w:w="120.0" w:type="dxa"/>
            </w:tcMar>
          </w:tcPr>
          <w:p w:rsidR="00000000" w:rsidDel="00000000" w:rsidP="00000000" w:rsidRDefault="00000000" w:rsidRPr="00000000" w14:paraId="00000033">
            <w:pPr>
              <w:spacing w:line="252.00000000000003" w:lineRule="auto"/>
              <w:rPr/>
            </w:pPr>
            <w:r w:rsidDel="00000000" w:rsidR="00000000" w:rsidRPr="00000000">
              <w:rPr>
                <w:rFonts w:ascii="Times New Roman" w:cs="Times New Roman" w:eastAsia="Times New Roman" w:hAnsi="Times New Roman"/>
                <w:sz w:val="24"/>
                <w:szCs w:val="24"/>
                <w:rtl w:val="0"/>
              </w:rPr>
              <w:t xml:space="preserve">Descriptive-statistics table</w:t>
            </w:r>
            <w:r w:rsidDel="00000000" w:rsidR="00000000" w:rsidRPr="00000000">
              <w:rPr>
                <w:rtl w:val="0"/>
              </w:rPr>
            </w:r>
          </w:p>
        </w:tc>
      </w:tr>
      <w:tr>
        <w:trPr>
          <w:cantSplit w:val="0"/>
          <w:trHeight w:val="405" w:hRule="atLeast"/>
          <w:tblHeader w:val="0"/>
        </w:trPr>
        <w:tc>
          <w:tcPr>
            <w:tcBorders>
              <w:top w:color="000000" w:space="0" w:sz="0" w:val="nil"/>
              <w:left w:color="d9d9d9" w:space="0" w:sz="5" w:val="single"/>
              <w:bottom w:color="d9d9d9" w:space="0" w:sz="5" w:val="single"/>
              <w:right w:color="d9d9d9" w:space="0" w:sz="5" w:val="single"/>
            </w:tcBorders>
            <w:tcMar>
              <w:left w:w="120.0" w:type="dxa"/>
              <w:right w:w="120.0" w:type="dxa"/>
            </w:tcMar>
          </w:tcPr>
          <w:p w:rsidR="00000000" w:rsidDel="00000000" w:rsidP="00000000" w:rsidRDefault="00000000" w:rsidRPr="00000000" w14:paraId="00000034">
            <w:pPr>
              <w:spacing w:line="252.00000000000003" w:lineRule="auto"/>
              <w:jc w:val="both"/>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0" w:val="nil"/>
              <w:left w:color="000000" w:space="0" w:sz="0" w:val="nil"/>
              <w:bottom w:color="d9d9d9" w:space="0" w:sz="5" w:val="single"/>
              <w:right w:color="d9d9d9" w:space="0" w:sz="5" w:val="single"/>
            </w:tcBorders>
            <w:tcMar>
              <w:left w:w="120.0" w:type="dxa"/>
              <w:right w:w="120.0" w:type="dxa"/>
            </w:tcMar>
          </w:tcPr>
          <w:p w:rsidR="00000000" w:rsidDel="00000000" w:rsidP="00000000" w:rsidRDefault="00000000" w:rsidRPr="00000000" w14:paraId="00000035">
            <w:pPr>
              <w:spacing w:line="252.00000000000003" w:lineRule="auto"/>
              <w:jc w:val="both"/>
              <w:rPr/>
            </w:pPr>
            <w:r w:rsidDel="00000000" w:rsidR="00000000" w:rsidRPr="00000000">
              <w:rPr>
                <w:rFonts w:ascii="Times New Roman" w:cs="Times New Roman" w:eastAsia="Times New Roman" w:hAnsi="Times New Roman"/>
                <w:sz w:val="24"/>
                <w:szCs w:val="24"/>
                <w:rtl w:val="0"/>
              </w:rPr>
              <w:t xml:space="preserve">Create time-series charts showing changes in visitor arrivals and unemployment rates. Include titles, units, period labels and data sources.</w:t>
            </w:r>
            <w:r w:rsidDel="00000000" w:rsidR="00000000" w:rsidRPr="00000000">
              <w:rPr>
                <w:rtl w:val="0"/>
              </w:rPr>
            </w:r>
          </w:p>
        </w:tc>
        <w:tc>
          <w:tcPr>
            <w:tcBorders>
              <w:top w:color="000000" w:space="0" w:sz="0" w:val="nil"/>
              <w:left w:color="000000" w:space="0" w:sz="0" w:val="nil"/>
              <w:bottom w:color="d9d9d9" w:space="0" w:sz="5" w:val="single"/>
              <w:right w:color="d9d9d9" w:space="0" w:sz="5" w:val="single"/>
            </w:tcBorders>
            <w:tcMar>
              <w:left w:w="120.0" w:type="dxa"/>
              <w:right w:w="120.0" w:type="dxa"/>
            </w:tcMar>
          </w:tcPr>
          <w:p w:rsidR="00000000" w:rsidDel="00000000" w:rsidP="00000000" w:rsidRDefault="00000000" w:rsidRPr="00000000" w14:paraId="00000036">
            <w:pPr>
              <w:spacing w:line="252.00000000000003" w:lineRule="auto"/>
              <w:rPr/>
            </w:pPr>
            <w:r w:rsidDel="00000000" w:rsidR="00000000" w:rsidRPr="00000000">
              <w:rPr>
                <w:rFonts w:ascii="Times New Roman" w:cs="Times New Roman" w:eastAsia="Times New Roman" w:hAnsi="Times New Roman"/>
                <w:sz w:val="24"/>
                <w:szCs w:val="24"/>
                <w:rtl w:val="0"/>
              </w:rPr>
              <w:t xml:space="preserve">Time-series visualizations</w:t>
            </w:r>
            <w:r w:rsidDel="00000000" w:rsidR="00000000" w:rsidRPr="00000000">
              <w:rPr>
                <w:rtl w:val="0"/>
              </w:rPr>
            </w:r>
          </w:p>
        </w:tc>
      </w:tr>
      <w:tr>
        <w:trPr>
          <w:cantSplit w:val="0"/>
          <w:trHeight w:val="405" w:hRule="atLeast"/>
          <w:tblHeader w:val="0"/>
        </w:trPr>
        <w:tc>
          <w:tcPr>
            <w:tcBorders>
              <w:top w:color="000000" w:space="0" w:sz="0" w:val="nil"/>
              <w:left w:color="d9d9d9" w:space="0" w:sz="5" w:val="single"/>
              <w:bottom w:color="d9d9d9" w:space="0" w:sz="5" w:val="single"/>
              <w:right w:color="d9d9d9" w:space="0" w:sz="5" w:val="single"/>
            </w:tcBorders>
            <w:tcMar>
              <w:left w:w="120.0" w:type="dxa"/>
              <w:right w:w="120.0" w:type="dxa"/>
            </w:tcMar>
          </w:tcPr>
          <w:p w:rsidR="00000000" w:rsidDel="00000000" w:rsidP="00000000" w:rsidRDefault="00000000" w:rsidRPr="00000000" w14:paraId="00000037">
            <w:pPr>
              <w:spacing w:line="252.00000000000003" w:lineRule="auto"/>
              <w:jc w:val="both"/>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Borders>
              <w:top w:color="000000" w:space="0" w:sz="0" w:val="nil"/>
              <w:left w:color="000000" w:space="0" w:sz="0" w:val="nil"/>
              <w:bottom w:color="d9d9d9" w:space="0" w:sz="5" w:val="single"/>
              <w:right w:color="d9d9d9" w:space="0" w:sz="5" w:val="single"/>
            </w:tcBorders>
            <w:tcMar>
              <w:left w:w="120.0" w:type="dxa"/>
              <w:right w:w="120.0" w:type="dxa"/>
            </w:tcMar>
          </w:tcPr>
          <w:p w:rsidR="00000000" w:rsidDel="00000000" w:rsidP="00000000" w:rsidRDefault="00000000" w:rsidRPr="00000000" w14:paraId="00000038">
            <w:pPr>
              <w:spacing w:line="252.00000000000003" w:lineRule="auto"/>
              <w:jc w:val="both"/>
              <w:rPr/>
            </w:pPr>
            <w:r w:rsidDel="00000000" w:rsidR="00000000" w:rsidRPr="00000000">
              <w:rPr>
                <w:rFonts w:ascii="Times New Roman" w:cs="Times New Roman" w:eastAsia="Times New Roman" w:hAnsi="Times New Roman"/>
                <w:sz w:val="24"/>
                <w:szCs w:val="24"/>
                <w:rtl w:val="0"/>
              </w:rPr>
              <w:t xml:space="preserve">Create a labelled scatter plot and calculate the Pearson correlation coefficient, simple linear regression line and R-squared value.</w:t>
            </w:r>
            <w:r w:rsidDel="00000000" w:rsidR="00000000" w:rsidRPr="00000000">
              <w:rPr>
                <w:rtl w:val="0"/>
              </w:rPr>
            </w:r>
          </w:p>
        </w:tc>
        <w:tc>
          <w:tcPr>
            <w:tcBorders>
              <w:top w:color="000000" w:space="0" w:sz="0" w:val="nil"/>
              <w:left w:color="000000" w:space="0" w:sz="0" w:val="nil"/>
              <w:bottom w:color="d9d9d9" w:space="0" w:sz="5" w:val="single"/>
              <w:right w:color="d9d9d9" w:space="0" w:sz="5" w:val="single"/>
            </w:tcBorders>
            <w:tcMar>
              <w:left w:w="120.0" w:type="dxa"/>
              <w:right w:w="120.0" w:type="dxa"/>
            </w:tcMar>
          </w:tcPr>
          <w:p w:rsidR="00000000" w:rsidDel="00000000" w:rsidP="00000000" w:rsidRDefault="00000000" w:rsidRPr="00000000" w14:paraId="00000039">
            <w:pPr>
              <w:spacing w:line="252.00000000000003" w:lineRule="auto"/>
              <w:rPr/>
            </w:pPr>
            <w:r w:rsidDel="00000000" w:rsidR="00000000" w:rsidRPr="00000000">
              <w:rPr>
                <w:rFonts w:ascii="Times New Roman" w:cs="Times New Roman" w:eastAsia="Times New Roman" w:hAnsi="Times New Roman"/>
                <w:sz w:val="24"/>
                <w:szCs w:val="24"/>
                <w:rtl w:val="0"/>
              </w:rPr>
              <w:t xml:space="preserve">Statistical results and labelled scatter plot</w:t>
            </w:r>
            <w:r w:rsidDel="00000000" w:rsidR="00000000" w:rsidRPr="00000000">
              <w:rPr>
                <w:rtl w:val="0"/>
              </w:rPr>
            </w:r>
          </w:p>
        </w:tc>
      </w:tr>
      <w:tr>
        <w:trPr>
          <w:cantSplit w:val="0"/>
          <w:trHeight w:val="405" w:hRule="atLeast"/>
          <w:tblHeader w:val="0"/>
        </w:trPr>
        <w:tc>
          <w:tcPr>
            <w:tcBorders>
              <w:top w:color="000000" w:space="0" w:sz="0" w:val="nil"/>
              <w:left w:color="d9d9d9" w:space="0" w:sz="5" w:val="single"/>
              <w:bottom w:color="d9d9d9" w:space="0" w:sz="5" w:val="single"/>
              <w:right w:color="d9d9d9" w:space="0" w:sz="5" w:val="single"/>
            </w:tcBorders>
            <w:tcMar>
              <w:left w:w="120.0" w:type="dxa"/>
              <w:right w:w="120.0" w:type="dxa"/>
            </w:tcMar>
          </w:tcPr>
          <w:p w:rsidR="00000000" w:rsidDel="00000000" w:rsidP="00000000" w:rsidRDefault="00000000" w:rsidRPr="00000000" w14:paraId="0000003A">
            <w:pPr>
              <w:spacing w:line="252.00000000000003" w:lineRule="auto"/>
              <w:jc w:val="both"/>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tcBorders>
              <w:top w:color="000000" w:space="0" w:sz="0" w:val="nil"/>
              <w:left w:color="000000" w:space="0" w:sz="0" w:val="nil"/>
              <w:bottom w:color="d9d9d9" w:space="0" w:sz="5" w:val="single"/>
              <w:right w:color="d9d9d9" w:space="0" w:sz="5" w:val="single"/>
            </w:tcBorders>
            <w:tcMar>
              <w:left w:w="120.0" w:type="dxa"/>
              <w:right w:w="120.0" w:type="dxa"/>
            </w:tcMar>
          </w:tcPr>
          <w:p w:rsidR="00000000" w:rsidDel="00000000" w:rsidP="00000000" w:rsidRDefault="00000000" w:rsidRPr="00000000" w14:paraId="0000003B">
            <w:pPr>
              <w:spacing w:line="252.00000000000003" w:lineRule="auto"/>
              <w:jc w:val="both"/>
              <w:rPr/>
            </w:pPr>
            <w:r w:rsidDel="00000000" w:rsidR="00000000" w:rsidRPr="00000000">
              <w:rPr>
                <w:rFonts w:ascii="Times New Roman" w:cs="Times New Roman" w:eastAsia="Times New Roman" w:hAnsi="Times New Roman"/>
                <w:sz w:val="24"/>
                <w:szCs w:val="24"/>
                <w:rtl w:val="0"/>
              </w:rPr>
              <w:t xml:space="preserve">Interpret the findings without making a causal claim. Discuss seasonality, reopening policies, labour-supply changes and the common economic recovery trend.</w:t>
            </w:r>
            <w:r w:rsidDel="00000000" w:rsidR="00000000" w:rsidRPr="00000000">
              <w:rPr>
                <w:rtl w:val="0"/>
              </w:rPr>
            </w:r>
          </w:p>
        </w:tc>
        <w:tc>
          <w:tcPr>
            <w:tcBorders>
              <w:top w:color="000000" w:space="0" w:sz="0" w:val="nil"/>
              <w:left w:color="000000" w:space="0" w:sz="0" w:val="nil"/>
              <w:bottom w:color="d9d9d9" w:space="0" w:sz="5" w:val="single"/>
              <w:right w:color="d9d9d9" w:space="0" w:sz="5" w:val="single"/>
            </w:tcBorders>
            <w:tcMar>
              <w:left w:w="120.0" w:type="dxa"/>
              <w:right w:w="120.0" w:type="dxa"/>
            </w:tcMar>
          </w:tcPr>
          <w:p w:rsidR="00000000" w:rsidDel="00000000" w:rsidP="00000000" w:rsidRDefault="00000000" w:rsidRPr="00000000" w14:paraId="0000003C">
            <w:pPr>
              <w:spacing w:line="252.00000000000003" w:lineRule="auto"/>
              <w:rPr/>
            </w:pPr>
            <w:r w:rsidDel="00000000" w:rsidR="00000000" w:rsidRPr="00000000">
              <w:rPr>
                <w:rFonts w:ascii="Times New Roman" w:cs="Times New Roman" w:eastAsia="Times New Roman" w:hAnsi="Times New Roman"/>
                <w:sz w:val="24"/>
                <w:szCs w:val="24"/>
                <w:rtl w:val="0"/>
              </w:rPr>
              <w:t xml:space="preserve">Findings and limitations section</w:t>
            </w:r>
            <w:r w:rsidDel="00000000" w:rsidR="00000000" w:rsidRPr="00000000">
              <w:rPr>
                <w:rtl w:val="0"/>
              </w:rPr>
            </w:r>
          </w:p>
        </w:tc>
      </w:tr>
      <w:tr>
        <w:trPr>
          <w:cantSplit w:val="0"/>
          <w:trHeight w:val="405" w:hRule="atLeast"/>
          <w:tblHeader w:val="0"/>
        </w:trPr>
        <w:tc>
          <w:tcPr>
            <w:tcBorders>
              <w:top w:color="000000" w:space="0" w:sz="0" w:val="nil"/>
              <w:left w:color="d9d9d9" w:space="0" w:sz="5" w:val="single"/>
              <w:bottom w:color="d9d9d9" w:space="0" w:sz="5" w:val="single"/>
              <w:right w:color="d9d9d9" w:space="0" w:sz="5" w:val="single"/>
            </w:tcBorders>
            <w:tcMar>
              <w:left w:w="120.0" w:type="dxa"/>
              <w:right w:w="120.0" w:type="dxa"/>
            </w:tcMar>
          </w:tcPr>
          <w:p w:rsidR="00000000" w:rsidDel="00000000" w:rsidP="00000000" w:rsidRDefault="00000000" w:rsidRPr="00000000" w14:paraId="0000003D">
            <w:pPr>
              <w:spacing w:line="252.00000000000003" w:lineRule="auto"/>
              <w:jc w:val="both"/>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000000" w:space="0" w:sz="0" w:val="nil"/>
              <w:left w:color="000000" w:space="0" w:sz="0" w:val="nil"/>
              <w:bottom w:color="d9d9d9" w:space="0" w:sz="5" w:val="single"/>
              <w:right w:color="d9d9d9" w:space="0" w:sz="5" w:val="single"/>
            </w:tcBorders>
            <w:tcMar>
              <w:left w:w="120.0" w:type="dxa"/>
              <w:right w:w="120.0" w:type="dxa"/>
            </w:tcMar>
          </w:tcPr>
          <w:p w:rsidR="00000000" w:rsidDel="00000000" w:rsidP="00000000" w:rsidRDefault="00000000" w:rsidRPr="00000000" w14:paraId="0000003E">
            <w:pPr>
              <w:spacing w:line="252.00000000000003" w:lineRule="auto"/>
              <w:jc w:val="both"/>
              <w:rPr/>
            </w:pPr>
            <w:r w:rsidDel="00000000" w:rsidR="00000000" w:rsidRPr="00000000">
              <w:rPr>
                <w:rFonts w:ascii="Times New Roman" w:cs="Times New Roman" w:eastAsia="Times New Roman" w:hAnsi="Times New Roman"/>
                <w:sz w:val="24"/>
                <w:szCs w:val="24"/>
                <w:rtl w:val="0"/>
              </w:rPr>
              <w:t xml:space="preserve">Check that the Excel worksheets, Python notebook, calculations and visualizations use consistent data and can be reproduced.</w:t>
            </w:r>
            <w:r w:rsidDel="00000000" w:rsidR="00000000" w:rsidRPr="00000000">
              <w:rPr>
                <w:rtl w:val="0"/>
              </w:rPr>
            </w:r>
          </w:p>
        </w:tc>
        <w:tc>
          <w:tcPr>
            <w:tcBorders>
              <w:top w:color="000000" w:space="0" w:sz="0" w:val="nil"/>
              <w:left w:color="000000" w:space="0" w:sz="0" w:val="nil"/>
              <w:bottom w:color="d9d9d9" w:space="0" w:sz="5" w:val="single"/>
              <w:right w:color="d9d9d9" w:space="0" w:sz="5" w:val="single"/>
            </w:tcBorders>
            <w:tcMar>
              <w:left w:w="120.0" w:type="dxa"/>
              <w:right w:w="120.0" w:type="dxa"/>
            </w:tcMar>
          </w:tcPr>
          <w:p w:rsidR="00000000" w:rsidDel="00000000" w:rsidP="00000000" w:rsidRDefault="00000000" w:rsidRPr="00000000" w14:paraId="0000003F">
            <w:pPr>
              <w:spacing w:line="252.00000000000003" w:lineRule="auto"/>
              <w:rPr/>
            </w:pPr>
            <w:r w:rsidDel="00000000" w:rsidR="00000000" w:rsidRPr="00000000">
              <w:rPr>
                <w:rFonts w:ascii="Times New Roman" w:cs="Times New Roman" w:eastAsia="Times New Roman" w:hAnsi="Times New Roman"/>
                <w:sz w:val="24"/>
                <w:szCs w:val="24"/>
                <w:rtl w:val="0"/>
              </w:rPr>
              <w:t xml:space="preserve">Final workbook, notebook and quality-control checklist</w:t>
            </w:r>
            <w:r w:rsidDel="00000000" w:rsidR="00000000" w:rsidRPr="00000000">
              <w:rPr>
                <w:rtl w:val="0"/>
              </w:rPr>
            </w:r>
          </w:p>
        </w:tc>
      </w:tr>
    </w:tbl>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Criteria for Success</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960"/>
        <w:tblGridChange w:id="0">
          <w:tblGrid>
            <w:gridCol w:w="2400"/>
            <w:gridCol w:w="6960"/>
          </w:tblGrid>
        </w:tblGridChange>
      </w:tblGrid>
      <w:tr>
        <w:trPr>
          <w:cantSplit w:val="0"/>
          <w:trHeight w:val="405" w:hRule="atLeast"/>
          <w:tblHeader w:val="0"/>
        </w:trPr>
        <w:tc>
          <w:tcPr>
            <w:tcBorders>
              <w:top w:color="d9d9d9" w:space="0" w:sz="5" w:val="single"/>
              <w:left w:color="d9d9d9" w:space="0" w:sz="5" w:val="single"/>
              <w:bottom w:color="d9d9d9" w:space="0" w:sz="5" w:val="single"/>
              <w:right w:color="d9d9d9" w:space="0" w:sz="5" w:val="single"/>
            </w:tcBorders>
            <w:tcMar>
              <w:left w:w="120.0" w:type="dxa"/>
              <w:right w:w="120.0" w:type="dxa"/>
            </w:tcMar>
          </w:tcPr>
          <w:p w:rsidR="00000000" w:rsidDel="00000000" w:rsidP="00000000" w:rsidRDefault="00000000" w:rsidRPr="00000000" w14:paraId="00000045">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Criterion</w:t>
            </w:r>
            <w:r w:rsidDel="00000000" w:rsidR="00000000" w:rsidRPr="00000000">
              <w:rPr>
                <w:rtl w:val="0"/>
              </w:rPr>
            </w:r>
          </w:p>
        </w:tc>
        <w:tc>
          <w:tcPr>
            <w:tcBorders>
              <w:top w:color="d9d9d9" w:space="0" w:sz="5" w:val="single"/>
              <w:left w:color="000000" w:space="0" w:sz="0" w:val="nil"/>
              <w:bottom w:color="d9d9d9" w:space="0" w:sz="5" w:val="single"/>
              <w:right w:color="d9d9d9" w:space="0" w:sz="5" w:val="single"/>
            </w:tcBorders>
            <w:tcMar>
              <w:left w:w="120.0" w:type="dxa"/>
              <w:right w:w="120.0" w:type="dxa"/>
            </w:tcMar>
          </w:tcPr>
          <w:p w:rsidR="00000000" w:rsidDel="00000000" w:rsidP="00000000" w:rsidRDefault="00000000" w:rsidRPr="00000000" w14:paraId="00000046">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Evidence</w:t>
            </w:r>
            <w:r w:rsidDel="00000000" w:rsidR="00000000" w:rsidRPr="00000000">
              <w:rPr>
                <w:rtl w:val="0"/>
              </w:rPr>
            </w:r>
          </w:p>
        </w:tc>
      </w:tr>
      <w:tr>
        <w:trPr>
          <w:cantSplit w:val="0"/>
          <w:trHeight w:val="405" w:hRule="atLeast"/>
          <w:tblHeader w:val="0"/>
        </w:trPr>
        <w:tc>
          <w:tcPr>
            <w:tcBorders>
              <w:top w:color="000000" w:space="0" w:sz="0" w:val="nil"/>
              <w:left w:color="d9d9d9" w:space="0" w:sz="5" w:val="single"/>
              <w:bottom w:color="d9d9d9" w:space="0" w:sz="5" w:val="single"/>
              <w:right w:color="d9d9d9" w:space="0" w:sz="5" w:val="single"/>
            </w:tcBorders>
            <w:tcMar>
              <w:left w:w="120.0" w:type="dxa"/>
              <w:right w:w="120.0" w:type="dxa"/>
            </w:tcMar>
          </w:tcPr>
          <w:p w:rsidR="00000000" w:rsidDel="00000000" w:rsidP="00000000" w:rsidRDefault="00000000" w:rsidRPr="00000000" w14:paraId="00000047">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Requirement coverage</w:t>
            </w:r>
            <w:r w:rsidDel="00000000" w:rsidR="00000000" w:rsidRPr="00000000">
              <w:rPr>
                <w:rtl w:val="0"/>
              </w:rPr>
            </w:r>
          </w:p>
        </w:tc>
        <w:tc>
          <w:tcPr>
            <w:tcBorders>
              <w:top w:color="000000" w:space="0" w:sz="0" w:val="nil"/>
              <w:left w:color="000000" w:space="0" w:sz="0" w:val="nil"/>
              <w:bottom w:color="d9d9d9" w:space="0" w:sz="5" w:val="single"/>
              <w:right w:color="d9d9d9" w:space="0" w:sz="5" w:val="single"/>
            </w:tcBorders>
            <w:tcMar>
              <w:left w:w="120.0" w:type="dxa"/>
              <w:right w:w="120.0" w:type="dxa"/>
            </w:tcMar>
          </w:tcPr>
          <w:p w:rsidR="00000000" w:rsidDel="00000000" w:rsidP="00000000" w:rsidRDefault="00000000" w:rsidRPr="00000000" w14:paraId="00000048">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proposal includes the topic, purpose, tasks, criteria for success, collaboration issues, preliminary evidence, written justification and dataset references.</w:t>
            </w:r>
            <w:r w:rsidDel="00000000" w:rsidR="00000000" w:rsidRPr="00000000">
              <w:rPr>
                <w:rtl w:val="0"/>
              </w:rPr>
            </w:r>
          </w:p>
        </w:tc>
      </w:tr>
      <w:tr>
        <w:trPr>
          <w:cantSplit w:val="0"/>
          <w:trHeight w:val="405" w:hRule="atLeast"/>
          <w:tblHeader w:val="0"/>
        </w:trPr>
        <w:tc>
          <w:tcPr>
            <w:tcBorders>
              <w:top w:color="000000" w:space="0" w:sz="0" w:val="nil"/>
              <w:left w:color="d9d9d9" w:space="0" w:sz="5" w:val="single"/>
              <w:bottom w:color="d9d9d9" w:space="0" w:sz="5" w:val="single"/>
              <w:right w:color="d9d9d9" w:space="0" w:sz="5" w:val="single"/>
            </w:tcBorders>
            <w:tcMar>
              <w:left w:w="120.0" w:type="dxa"/>
              <w:right w:w="120.0" w:type="dxa"/>
            </w:tcMar>
          </w:tcPr>
          <w:p w:rsidR="00000000" w:rsidDel="00000000" w:rsidP="00000000" w:rsidRDefault="00000000" w:rsidRPr="00000000" w14:paraId="00000049">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Authoritative data</w:t>
            </w:r>
            <w:r w:rsidDel="00000000" w:rsidR="00000000" w:rsidRPr="00000000">
              <w:rPr>
                <w:rtl w:val="0"/>
              </w:rPr>
            </w:r>
          </w:p>
        </w:tc>
        <w:tc>
          <w:tcPr>
            <w:tcBorders>
              <w:top w:color="000000" w:space="0" w:sz="0" w:val="nil"/>
              <w:left w:color="000000" w:space="0" w:sz="0" w:val="nil"/>
              <w:bottom w:color="d9d9d9" w:space="0" w:sz="5" w:val="single"/>
              <w:right w:color="d9d9d9" w:space="0" w:sz="5" w:val="single"/>
            </w:tcBorders>
            <w:tcMar>
              <w:left w:w="120.0" w:type="dxa"/>
              <w:right w:w="120.0" w:type="dxa"/>
            </w:tcMar>
          </w:tcPr>
          <w:p w:rsidR="00000000" w:rsidDel="00000000" w:rsidP="00000000" w:rsidRDefault="00000000" w:rsidRPr="00000000" w14:paraId="0000004A">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Visitor arrivals, unemployment and employment values are traceable to Macao DSEC publications or its time-series database.</w:t>
            </w:r>
            <w:r w:rsidDel="00000000" w:rsidR="00000000" w:rsidRPr="00000000">
              <w:rPr>
                <w:rtl w:val="0"/>
              </w:rPr>
            </w:r>
          </w:p>
        </w:tc>
      </w:tr>
      <w:tr>
        <w:trPr>
          <w:cantSplit w:val="0"/>
          <w:trHeight w:val="405" w:hRule="atLeast"/>
          <w:tblHeader w:val="0"/>
        </w:trPr>
        <w:tc>
          <w:tcPr>
            <w:tcBorders>
              <w:top w:color="000000" w:space="0" w:sz="0" w:val="nil"/>
              <w:left w:color="d9d9d9" w:space="0" w:sz="5" w:val="single"/>
              <w:bottom w:color="d9d9d9" w:space="0" w:sz="5" w:val="single"/>
              <w:right w:color="d9d9d9" w:space="0" w:sz="5" w:val="single"/>
            </w:tcBorders>
            <w:tcMar>
              <w:left w:w="120.0" w:type="dxa"/>
              <w:right w:w="120.0" w:type="dxa"/>
            </w:tcMar>
          </w:tcPr>
          <w:p w:rsidR="00000000" w:rsidDel="00000000" w:rsidP="00000000" w:rsidRDefault="00000000" w:rsidRPr="00000000" w14:paraId="0000004B">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Time coverage</w:t>
            </w:r>
            <w:r w:rsidDel="00000000" w:rsidR="00000000" w:rsidRPr="00000000">
              <w:rPr>
                <w:rtl w:val="0"/>
              </w:rPr>
            </w:r>
          </w:p>
        </w:tc>
        <w:tc>
          <w:tcPr>
            <w:tcBorders>
              <w:top w:color="000000" w:space="0" w:sz="0" w:val="nil"/>
              <w:left w:color="000000" w:space="0" w:sz="0" w:val="nil"/>
              <w:bottom w:color="d9d9d9" w:space="0" w:sz="5" w:val="single"/>
              <w:right w:color="d9d9d9" w:space="0" w:sz="5" w:val="single"/>
            </w:tcBorders>
            <w:tcMar>
              <w:left w:w="120.0" w:type="dxa"/>
              <w:right w:w="120.0" w:type="dxa"/>
            </w:tcMar>
          </w:tcPr>
          <w:p w:rsidR="00000000" w:rsidDel="00000000" w:rsidP="00000000" w:rsidRDefault="00000000" w:rsidRPr="00000000" w14:paraId="0000004C">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revised supporting dataset covers 2020 Q1 to 2025 Q4 and includes the pandemic shock and recovery period.</w:t>
            </w:r>
            <w:r w:rsidDel="00000000" w:rsidR="00000000" w:rsidRPr="00000000">
              <w:rPr>
                <w:rtl w:val="0"/>
              </w:rPr>
            </w:r>
          </w:p>
        </w:tc>
      </w:tr>
      <w:tr>
        <w:trPr>
          <w:cantSplit w:val="0"/>
          <w:trHeight w:val="405" w:hRule="atLeast"/>
          <w:tblHeader w:val="0"/>
        </w:trPr>
        <w:tc>
          <w:tcPr>
            <w:tcBorders>
              <w:top w:color="000000" w:space="0" w:sz="0" w:val="nil"/>
              <w:left w:color="d9d9d9" w:space="0" w:sz="5" w:val="single"/>
              <w:bottom w:color="d9d9d9" w:space="0" w:sz="5" w:val="single"/>
              <w:right w:color="d9d9d9" w:space="0" w:sz="5" w:val="single"/>
            </w:tcBorders>
            <w:tcMar>
              <w:left w:w="120.0" w:type="dxa"/>
              <w:right w:w="120.0" w:type="dxa"/>
            </w:tcMar>
          </w:tcPr>
          <w:p w:rsidR="00000000" w:rsidDel="00000000" w:rsidP="00000000" w:rsidRDefault="00000000" w:rsidRPr="00000000" w14:paraId="0000004D">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Data quality</w:t>
            </w:r>
            <w:r w:rsidDel="00000000" w:rsidR="00000000" w:rsidRPr="00000000">
              <w:rPr>
                <w:rtl w:val="0"/>
              </w:rPr>
            </w:r>
          </w:p>
        </w:tc>
        <w:tc>
          <w:tcPr>
            <w:tcBorders>
              <w:top w:color="000000" w:space="0" w:sz="0" w:val="nil"/>
              <w:left w:color="000000" w:space="0" w:sz="0" w:val="nil"/>
              <w:bottom w:color="d9d9d9" w:space="0" w:sz="5" w:val="single"/>
              <w:right w:color="d9d9d9" w:space="0" w:sz="5" w:val="single"/>
            </w:tcBorders>
            <w:tcMar>
              <w:left w:w="120.0" w:type="dxa"/>
              <w:right w:w="120.0" w:type="dxa"/>
            </w:tcMar>
          </w:tcPr>
          <w:p w:rsidR="00000000" w:rsidDel="00000000" w:rsidP="00000000" w:rsidRDefault="00000000" w:rsidRPr="00000000" w14:paraId="0000004E">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Quarter labels, units and numeric types are standardized; no quarters are missing or duplicated.</w:t>
            </w:r>
            <w:r w:rsidDel="00000000" w:rsidR="00000000" w:rsidRPr="00000000">
              <w:rPr>
                <w:rtl w:val="0"/>
              </w:rPr>
            </w:r>
          </w:p>
        </w:tc>
      </w:tr>
      <w:tr>
        <w:trPr>
          <w:cantSplit w:val="0"/>
          <w:trHeight w:val="405" w:hRule="atLeast"/>
          <w:tblHeader w:val="0"/>
        </w:trPr>
        <w:tc>
          <w:tcPr>
            <w:tcBorders>
              <w:top w:color="000000" w:space="0" w:sz="0" w:val="nil"/>
              <w:left w:color="d9d9d9" w:space="0" w:sz="5" w:val="single"/>
              <w:bottom w:color="d9d9d9" w:space="0" w:sz="5" w:val="single"/>
              <w:right w:color="d9d9d9" w:space="0" w:sz="5" w:val="single"/>
            </w:tcBorders>
            <w:tcMar>
              <w:left w:w="120.0" w:type="dxa"/>
              <w:right w:w="120.0" w:type="dxa"/>
            </w:tcMar>
          </w:tcPr>
          <w:p w:rsidR="00000000" w:rsidDel="00000000" w:rsidP="00000000" w:rsidRDefault="00000000" w:rsidRPr="00000000" w14:paraId="0000004F">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Analysis</w:t>
            </w:r>
            <w:r w:rsidDel="00000000" w:rsidR="00000000" w:rsidRPr="00000000">
              <w:rPr>
                <w:rtl w:val="0"/>
              </w:rPr>
            </w:r>
          </w:p>
        </w:tc>
        <w:tc>
          <w:tcPr>
            <w:tcBorders>
              <w:top w:color="000000" w:space="0" w:sz="0" w:val="nil"/>
              <w:left w:color="000000" w:space="0" w:sz="0" w:val="nil"/>
              <w:bottom w:color="d9d9d9" w:space="0" w:sz="5" w:val="single"/>
              <w:right w:color="d9d9d9" w:space="0" w:sz="5" w:val="single"/>
            </w:tcBorders>
            <w:tcMar>
              <w:left w:w="120.0" w:type="dxa"/>
              <w:right w:w="120.0" w:type="dxa"/>
            </w:tcMar>
          </w:tcPr>
          <w:p w:rsidR="00000000" w:rsidDel="00000000" w:rsidP="00000000" w:rsidRDefault="00000000" w:rsidRPr="00000000" w14:paraId="00000050">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scatter plot, Pearson correlation and linear fit can be reproduced from the workbook or notebook.</w:t>
            </w:r>
            <w:r w:rsidDel="00000000" w:rsidR="00000000" w:rsidRPr="00000000">
              <w:rPr>
                <w:rtl w:val="0"/>
              </w:rPr>
            </w:r>
          </w:p>
        </w:tc>
      </w:tr>
      <w:tr>
        <w:trPr>
          <w:cantSplit w:val="0"/>
          <w:trHeight w:val="405" w:hRule="atLeast"/>
          <w:tblHeader w:val="0"/>
        </w:trPr>
        <w:tc>
          <w:tcPr>
            <w:tcBorders>
              <w:top w:color="000000" w:space="0" w:sz="0" w:val="nil"/>
              <w:left w:color="d9d9d9" w:space="0" w:sz="5" w:val="single"/>
              <w:bottom w:color="d9d9d9" w:space="0" w:sz="5" w:val="single"/>
              <w:right w:color="d9d9d9" w:space="0" w:sz="5" w:val="single"/>
            </w:tcBorders>
            <w:tcMar>
              <w:left w:w="120.0" w:type="dxa"/>
              <w:right w:w="120.0" w:type="dxa"/>
            </w:tcMar>
          </w:tcPr>
          <w:p w:rsidR="00000000" w:rsidDel="00000000" w:rsidP="00000000" w:rsidRDefault="00000000" w:rsidRPr="00000000" w14:paraId="00000051">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Interpretation</w:t>
            </w:r>
            <w:r w:rsidDel="00000000" w:rsidR="00000000" w:rsidRPr="00000000">
              <w:rPr>
                <w:rtl w:val="0"/>
              </w:rPr>
            </w:r>
          </w:p>
        </w:tc>
        <w:tc>
          <w:tcPr>
            <w:tcBorders>
              <w:top w:color="000000" w:space="0" w:sz="0" w:val="nil"/>
              <w:left w:color="000000" w:space="0" w:sz="0" w:val="nil"/>
              <w:bottom w:color="d9d9d9" w:space="0" w:sz="5" w:val="single"/>
              <w:right w:color="d9d9d9" w:space="0" w:sz="5" w:val="single"/>
            </w:tcBorders>
            <w:tcMar>
              <w:left w:w="120.0" w:type="dxa"/>
              <w:right w:w="120.0" w:type="dxa"/>
            </w:tcMar>
          </w:tcPr>
          <w:p w:rsidR="00000000" w:rsidDel="00000000" w:rsidP="00000000" w:rsidRDefault="00000000" w:rsidRPr="00000000" w14:paraId="00000052">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conclusion describes association without claiming causation and notes seasonality, common trends, policy effects and labour-market changes.</w:t>
            </w:r>
            <w:r w:rsidDel="00000000" w:rsidR="00000000" w:rsidRPr="00000000">
              <w:rPr>
                <w:rtl w:val="0"/>
              </w:rPr>
            </w:r>
          </w:p>
        </w:tc>
      </w:tr>
    </w:tbl>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Collaboration Issues</w:t>
      </w:r>
    </w:p>
    <w:p w:rsidR="00000000" w:rsidDel="00000000" w:rsidP="00000000" w:rsidRDefault="00000000" w:rsidRPr="00000000" w14:paraId="00000056">
      <w:pPr>
        <w:spacing w:after="0" w:before="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Division of Work</w:t>
      </w:r>
    </w:p>
    <w:p w:rsidR="00000000" w:rsidDel="00000000" w:rsidP="00000000" w:rsidRDefault="00000000" w:rsidRPr="00000000" w14:paraId="0000005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Elfrida will collect and clean the tourism data and prepare the project background and tourism visualizations. </w:t>
      </w:r>
    </w:p>
    <w:p w:rsidR="00000000" w:rsidDel="00000000" w:rsidP="00000000" w:rsidRDefault="00000000" w:rsidRPr="00000000" w14:paraId="0000005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Eason will collect and clean the employment data, combine the datasets, conduct the statistical analysis, and prepare the Python notebook. </w:t>
      </w:r>
    </w:p>
    <w:p w:rsidR="00000000" w:rsidDel="00000000" w:rsidP="00000000" w:rsidRDefault="00000000" w:rsidRPr="00000000" w14:paraId="0000005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members will interpret the results, discuss limitations, and review the final submission.</w:t>
      </w:r>
    </w:p>
    <w:p w:rsidR="00000000" w:rsidDel="00000000" w:rsidP="00000000" w:rsidRDefault="00000000" w:rsidRPr="00000000" w14:paraId="0000005A">
      <w:pPr>
        <w:spacing w:after="0" w:before="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after="0" w:before="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Group Structure</w:t>
      </w:r>
    </w:p>
    <w:p w:rsidR="00000000" w:rsidDel="00000000" w:rsidP="00000000" w:rsidRDefault="00000000" w:rsidRPr="00000000" w14:paraId="0000005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Elfrida will serve as the project coordinator and liaison, managing the schedule and communicating with the lecturer. </w:t>
      </w:r>
    </w:p>
    <w:p w:rsidR="00000000" w:rsidDel="00000000" w:rsidP="00000000" w:rsidRDefault="00000000" w:rsidRPr="00000000" w14:paraId="0000005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Eason will serve as the project scribe and progress tracker, recording decisions, documenting analytical procedures, and monitoring task completion.</w:t>
      </w:r>
    </w:p>
    <w:p w:rsidR="00000000" w:rsidDel="00000000" w:rsidP="00000000" w:rsidRDefault="00000000" w:rsidRPr="00000000" w14:paraId="0000005E">
      <w:pPr>
        <w:spacing w:after="0" w:before="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after="0" w:before="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Group Rules</w:t>
      </w:r>
    </w:p>
    <w:p w:rsidR="00000000" w:rsidDel="00000000" w:rsidP="00000000" w:rsidRDefault="00000000" w:rsidRPr="00000000" w14:paraId="00000060">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Both members should contribute equally to the project</w:t>
      </w:r>
    </w:p>
    <w:p w:rsidR="00000000" w:rsidDel="00000000" w:rsidP="00000000" w:rsidRDefault="00000000" w:rsidRPr="00000000" w14:paraId="00000061">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Progress should be communicated regularly</w:t>
      </w:r>
    </w:p>
    <w:p w:rsidR="00000000" w:rsidDel="00000000" w:rsidP="00000000" w:rsidRDefault="00000000" w:rsidRPr="00000000" w14:paraId="00000062">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Tasks should be completed before the agreed deadline</w:t>
      </w:r>
    </w:p>
    <w:p w:rsidR="00000000" w:rsidDel="00000000" w:rsidP="00000000" w:rsidRDefault="00000000" w:rsidRPr="00000000" w14:paraId="00000063">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Important changes should be discussed together</w:t>
      </w:r>
    </w:p>
    <w:p w:rsidR="00000000" w:rsidDel="00000000" w:rsidP="00000000" w:rsidRDefault="00000000" w:rsidRPr="00000000" w14:paraId="00000064">
      <w:pPr>
        <w:numPr>
          <w:ilvl w:val="0"/>
          <w:numId w:val="4"/>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rtl w:val="0"/>
        </w:rPr>
        <w:t xml:space="preserve">embers must review each other’s work</w:t>
      </w:r>
    </w:p>
    <w:p w:rsidR="00000000" w:rsidDel="00000000" w:rsidP="00000000" w:rsidRDefault="00000000" w:rsidRPr="00000000" w14:paraId="00000065">
      <w:pPr>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Preliminary Evidence</w:t>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6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observation window covers the period from the peak of the pandemic to its end (2020 Q1–2025 Q4), giving 24 matched quarterly observations. This range includes the initial pandemic shock, the period of travel restrictions, the reopening transition, and the later recovery. Quarterly visitor-arrival totals are matched with DSEC's calendar-quarter general unemployment rate; total employment is retained as contextual evidence.</w:t>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6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preliminary result is Pearson r = -0.806, with R squared = 0.649. </w:t>
      </w:r>
      <w:r w:rsidDel="00000000" w:rsidR="00000000" w:rsidRPr="00000000">
        <w:rPr>
          <w:rFonts w:ascii="Times New Roman" w:cs="Times New Roman" w:eastAsia="Times New Roman" w:hAnsi="Times New Roman"/>
          <w:sz w:val="24"/>
          <w:szCs w:val="24"/>
          <w:rtl w:val="0"/>
        </w:rPr>
        <w:t xml:space="preserve">The fitted slope is approximately -0.148 percentage points in the general unemployment rate for each additional one million quarterly visitor arrivals. The pattern is consistent with higher tourism activity coinciding with lower unemployment, but it does not prove that tourism growth caused unemployment to fall directly. Both variables were affected by the pandemic and reopening; however, the result might also be affected by additional factors, such as seasonality, policy measures, labour supply, and broader economic recovery.</w:t>
      </w:r>
    </w:p>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48238" cy="29625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48238" cy="296258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Written Justification </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investigates whether the recovery of tourism in Macao is associated with improvements in employment conditions after the COVID-19 pandemic. The visualization above combines quarterly visitor arrival statistics and the general unemployment rate from 2020 Q1 to 2025 Q4. By examining both variables over the same period, we can see how employment conditions changed as tourism activity gradually recovered after travel restrictions were lifted and Macao’s economy reopened.</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The preliminary analysis shows a strong negative correlation (Pearson’s r = -0.806), suggesting that periods with higher visitor arrivals were generally associated with lower unemployment rates. However, this visualization shows only an association, not a causal relationship; future research should consider additional factors.</w:t>
      </w:r>
      <w:r w:rsidDel="00000000" w:rsidR="00000000" w:rsidRPr="00000000">
        <w:br w:type="page"/>
      </w: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Reference_Datasets</w:t>
      </w:r>
      <w:r w:rsidDel="00000000" w:rsidR="00000000" w:rsidRPr="00000000">
        <w:rPr>
          <w:rtl w:val="0"/>
        </w:rPr>
      </w:r>
    </w:p>
    <w:p w:rsidR="00000000" w:rsidDel="00000000" w:rsidP="00000000" w:rsidRDefault="00000000" w:rsidRPr="00000000" w14:paraId="00000071">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Visitor Arrivals in Macau</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DSEC - Statistics Database. (n.d.). </w:t>
      </w:r>
      <w:hyperlink r:id="rId7">
        <w:r w:rsidDel="00000000" w:rsidR="00000000" w:rsidRPr="00000000">
          <w:rPr>
            <w:rFonts w:ascii="Times New Roman" w:cs="Times New Roman" w:eastAsia="Times New Roman" w:hAnsi="Times New Roman"/>
            <w:color w:val="1155cc"/>
            <w:sz w:val="24"/>
            <w:szCs w:val="24"/>
            <w:u w:val="single"/>
            <w:rtl w:val="0"/>
          </w:rPr>
          <w:t xml:space="preserve">http://www.dsec.gov.mo/timeseriesdatabase.aspx?keyindicatorid=27&amp;lang=en-US</w:t>
        </w:r>
      </w:hyperlink>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Unemployment Rate in Macau </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DSEC - Statistics Database. (n.d.-c). </w:t>
      </w:r>
      <w:hyperlink r:id="rId8">
        <w:r w:rsidDel="00000000" w:rsidR="00000000" w:rsidRPr="00000000">
          <w:rPr>
            <w:rFonts w:ascii="Times New Roman" w:cs="Times New Roman" w:eastAsia="Times New Roman" w:hAnsi="Times New Roman"/>
            <w:color w:val="1155cc"/>
            <w:sz w:val="24"/>
            <w:szCs w:val="24"/>
            <w:u w:val="single"/>
            <w:rtl w:val="0"/>
          </w:rPr>
          <w:t xml:space="preserve">https://www.dsec.gov.mo/timeseriesdatabase.aspx?keyindicatorid=24&amp;lang=en-US</w:t>
        </w:r>
      </w:hyperlink>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115.66929133858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dsec.gov.mo/timeseriesdatabase.aspx?keyindicatorid=27&amp;lang=en-US" TargetMode="External"/><Relationship Id="rId8" Type="http://schemas.openxmlformats.org/officeDocument/2006/relationships/hyperlink" Target="https://www.dsec.gov.mo/timeseriesdatabase.aspx?keyindicatorid=24&amp;lang=en-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