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.0 -->
  <w:body>
    <w:p w:rsidR="0022649F" w:rsidP="006D7F6A">
      <w:pPr>
        <w:ind w:left="567"/>
        <w:rPr>
          <w:noProof/>
          <w:lang w:eastAsia="fr-FR"/>
        </w:rPr>
      </w:pPr>
    </w:p>
    <w:p w:rsidR="00CC6133" w:rsidP="001B2CAB">
      <w:pPr>
        <w:rPr>
          <w:noProof/>
          <w:lang w:eastAsia="fr-FR"/>
        </w:rPr>
      </w:pPr>
    </w:p>
    <w:p w:rsidR="00CC6133" w:rsidP="001B2CAB">
      <w:pPr>
        <w:rPr>
          <w:noProof/>
          <w:lang w:eastAsia="fr-FR"/>
        </w:rPr>
      </w:pPr>
      <w:bookmarkStart w:id="0" w:name="_GoBack"/>
    </w:p>
    <w:bookmarkEnd w:id="0"/>
    <w:p w:rsidR="00CC6133" w:rsidP="001B2CAB">
      <w:pPr>
        <w:rPr>
          <w:noProof/>
          <w:lang w:eastAsia="fr-FR"/>
        </w:rPr>
      </w:pPr>
    </w:p>
    <w:p w:rsidR="00CC6133" w:rsidP="001B2CAB">
      <w:pPr>
        <w:rPr>
          <w:noProof/>
          <w:lang w:eastAsia="fr-FR"/>
        </w:rPr>
      </w:pPr>
    </w:p>
    <w:p w:rsidR="00CC6133" w:rsidP="001B2CAB">
      <w:pPr>
        <w:rPr>
          <w:noProof/>
          <w:lang w:eastAsia="fr-FR"/>
        </w:rPr>
      </w:pPr>
    </w:p>
    <w:p w:rsidR="00CC6133" w:rsidP="001B2CAB">
      <w:pPr>
        <w:rPr>
          <w:noProof/>
          <w:lang w:eastAsia="fr-FR"/>
        </w:rPr>
      </w:pPr>
    </w:p>
    <w:p w:rsidR="00CC6133" w:rsidP="001B2CAB">
      <w:pPr>
        <w:rPr>
          <w:noProof/>
          <w:lang w:eastAsia="fr-FR"/>
        </w:rPr>
      </w:pPr>
    </w:p>
    <w:p w:rsidR="0022649F" w:rsidRPr="001B2CAB" w:rsidP="0022649F">
      <w:pPr>
        <w:spacing w:after="0" w:line="240" w:lineRule="auto"/>
        <w:rPr>
          <w:b/>
          <w:bCs/>
        </w:rPr>
      </w:pPr>
    </w:p>
    <w:p w:rsidR="0022649F" w:rsidP="0022649F">
      <w:pPr>
        <w:spacing w:after="0" w:line="240" w:lineRule="auto"/>
        <w:rPr>
          <w:b/>
          <w:bCs/>
          <w:sz w:val="52"/>
          <w:szCs w:val="52"/>
        </w:rPr>
      </w:pPr>
    </w:p>
    <w:p w:rsidR="00B72707" w:rsidRPr="0066493E" w:rsidP="00623E71">
      <w:pPr>
        <w:shd w:val="clear" w:color="auto" w:fill="FFFFFF"/>
        <w:spacing w:after="0" w:line="360" w:lineRule="auto"/>
        <w:jc w:val="center"/>
        <w:outlineLvl w:val="2"/>
        <w:rPr>
          <w:rFonts w:ascii="Arial" w:eastAsia="Times New Roman" w:hAnsi="Arial" w:cs="Arial"/>
          <w:b/>
          <w:bCs/>
          <w:color w:val="FF0000"/>
          <w:sz w:val="45"/>
          <w:szCs w:val="45"/>
          <w:u w:val="single"/>
          <w:rtl/>
          <w:lang w:eastAsia="fr-FR"/>
        </w:rPr>
      </w:pPr>
      <w:bookmarkStart w:id="1" w:name="law"/>
      <w:r w:rsidRPr="0066493E">
        <w:rPr>
          <w:rFonts w:ascii="Arial" w:eastAsia="Times New Roman" w:hAnsi="Arial" w:cs="Arial"/>
          <w:b/>
          <w:bCs/>
          <w:color w:val="FF0000"/>
          <w:sz w:val="45"/>
          <w:szCs w:val="45"/>
          <w:u w:val="single"/>
          <w:rtl/>
          <w:lang w:eastAsia="fr-FR"/>
        </w:rPr>
        <w:t xml:space="preserve"> مشروع قانون المالية رقم 55.23 للسنة المالية 2024</w:t>
      </w:r>
      <w:bookmarkEnd w:id="1"/>
    </w:p>
    <w:p w:rsidR="001B2CAB" w:rsidRPr="001B2CAB" w:rsidP="00623E71">
      <w:pPr>
        <w:spacing w:after="0" w:line="360" w:lineRule="auto"/>
        <w:jc w:val="center"/>
        <w:rPr>
          <w:b/>
          <w:bCs/>
          <w:sz w:val="44"/>
          <w:szCs w:val="44"/>
          <w:u w:val="single"/>
          <w:rtl/>
        </w:rPr>
      </w:pPr>
      <w:bookmarkStart w:id="2" w:name="team"/>
      <w:r w:rsidRPr="001B2CAB">
        <w:rPr>
          <w:b/>
          <w:bCs/>
          <w:sz w:val="44"/>
          <w:szCs w:val="44"/>
          <w:u w:val="single"/>
          <w:rtl/>
        </w:rPr>
        <w:t>الفريق الاشتراكي - المعارضة الاتحادية</w:t>
      </w:r>
      <w:bookmarkEnd w:id="2"/>
    </w:p>
    <w:p w:rsidR="0022649F" w:rsidRPr="001B2CAB" w:rsidP="00B72707">
      <w:pPr>
        <w:spacing w:after="0" w:line="240" w:lineRule="auto"/>
        <w:jc w:val="center"/>
        <w:rPr>
          <w:b/>
          <w:bCs/>
          <w:sz w:val="44"/>
          <w:szCs w:val="44"/>
          <w:u w:val="single"/>
          <w:rtl/>
        </w:rPr>
      </w:pPr>
      <w:r w:rsidRPr="001B2CAB">
        <w:rPr>
          <w:rFonts w:hint="cs"/>
          <w:b/>
          <w:bCs/>
          <w:sz w:val="44"/>
          <w:szCs w:val="44"/>
          <w:u w:val="single"/>
          <w:rtl/>
        </w:rPr>
        <w:t>التعديلات المقترحة</w:t>
      </w:r>
    </w:p>
    <w:p>
      <w:pPr>
        <w:bidi/>
        <w:jc w:val="both"/>
        <w:rPr>
          <w:rFonts w:cs="Sakkal Majalla"/>
          <w:bCs/>
          <w:iCs w:val="0"/>
          <w:szCs w:val="32"/>
          <w:rtl/>
          <w:lang w:bidi="ar-SA"/>
        </w:rPr>
        <w:sectPr w:rsidSect="004A7A97">
          <w:pgSz w:w="16838" w:h="11906" w:orient="landscape"/>
          <w:pgMar w:top="851" w:right="1103" w:bottom="1135" w:left="993" w:header="142" w:footer="709" w:gutter="0"/>
          <w:pgNumType w:start="1"/>
          <w:cols w:num="1" w:sep="1" w:space="708" w:equalWidth="1"/>
          <w:docGrid w:linePitch="360"/>
        </w:sectPr>
      </w:pPr>
    </w:p>
    <w:tbl>
      <w:tblPr>
        <w:bidiVisual/>
        <w:tblW w:w="5000" w:type="pct"/>
        <w:jc w:val="righ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00"/>
        <w:gridCol w:w="5867"/>
        <w:gridCol w:w="4400"/>
      </w:tblGrid>
      <w:tr>
        <w:tblPrEx>
          <w:tblW w:w="5000" w:type="pct"/>
          <w:jc w:val="righ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/>
          <w:tblCellSpacing w:w="15" w:type="dxa"/>
          <w:jc w:val="right"/>
        </w:trPr>
        <w:tc>
          <w:tcPr>
            <w:tcW w:w="1500" w:type="pct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bidi/>
              <w:jc w:val="left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  <w:t>التعديل رقم : 1</w:t>
            </w:r>
          </w:p>
        </w:tc>
        <w:tc>
          <w:tcPr>
            <w:tcW w:w="2000" w:type="pct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  <w:t>الفريق الاشتراكي - المعارضة الاتحادية</w:t>
            </w:r>
          </w:p>
        </w:tc>
        <w:tc>
          <w:tcPr>
            <w:tcW w:w="1500" w:type="pct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bidi/>
              <w:jc w:val="right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  <w:t>نوع التعديل : تعديل</w:t>
            </w:r>
          </w:p>
        </w:tc>
      </w:tr>
    </w:tbl>
    <w:p>
      <w:pPr>
        <w:rPr>
          <w:rFonts w:ascii="Times New Roman" w:eastAsia="Times New Roman" w:hAnsi="Times New Roman" w:cs="Times New Roman"/>
        </w:rPr>
      </w:pPr>
    </w:p>
    <w:tbl>
      <w:tblPr>
        <w:bidiVisual/>
        <w:tblW w:w="5000" w:type="pct"/>
        <w:jc w:val="right"/>
        <w:tblInd w:w="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39"/>
        <w:gridCol w:w="5139"/>
        <w:gridCol w:w="4405"/>
      </w:tblGrid>
      <w:tr>
        <w:tblPrEx>
          <w:tblW w:w="5000" w:type="pct"/>
          <w:jc w:val="right"/>
          <w:tblInd w:w="30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/>
          <w:tblHeader/>
          <w:jc w:val="right"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3D3"/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  <w:t>النص كما جاء في المشروع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3D3"/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  <w:t>نص التعديل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3D3"/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  <w:t>التعليل</w:t>
            </w:r>
          </w:p>
        </w:tc>
      </w:tr>
      <w:tr>
        <w:tblPrEx>
          <w:tblW w:w="5000" w:type="pct"/>
          <w:jc w:val="right"/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right"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  <w:hideMark/>
          </w:tcPr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الفصل 156. -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1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- يضمن رواج البضائع عند العبور إما بسند للإعفاء مقابل كفالة أو بأي وثيقة أخرى تقوم مقامه</w:t>
            </w:r>
            <w:r>
              <w:rPr>
                <w:rFonts w:ascii="Sakkal Majalla" w:eastAsia="Sakkal Majalla" w:hAnsi="Sakkal Majalla" w:cs="Sakkal Majalla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و إما بالتصريح المبسط المنصوص عليه في الفصل 76 المكرر-3 أعلاه.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«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  <w:hideMark/>
          </w:tcPr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الفصل 156. -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1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- يضمن رواج البضائع عند العبور إما بسند للإعفاء مقابل كفالة أو بأي وثيقة أخرى تقوم مقامه</w:t>
            </w:r>
            <w:r>
              <w:rPr>
                <w:rFonts w:ascii="Sakkal Majalla" w:eastAsia="Sakkal Majalla" w:hAnsi="Sakkal Majalla" w:cs="Sakkal Majalla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و إما بالتصريح المبسط المنصوص عليه في الفصل 76 المكرر-3 أعلاه.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«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  <w:hideMark/>
          </w:tcPr>
          <w:p>
            <w:pPr>
              <w:bidi/>
              <w:spacing w:before="75" w:after="75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 xml:space="preserve">1111111 </w:t>
            </w:r>
          </w:p>
        </w:tc>
      </w:tr>
    </w:tbl>
    <w:p>
      <w:pPr>
        <w:bidi/>
        <w:jc w:val="both"/>
        <w:rPr>
          <w:rFonts w:cs="Sakkal Majalla"/>
          <w:bCs/>
          <w:iCs w:val="0"/>
          <w:szCs w:val="32"/>
          <w:rtl/>
          <w:lang w:bidi="ar-SA"/>
        </w:rPr>
      </w:pPr>
      <w:r>
        <w:rPr>
          <w:rFonts w:cs="Sakkal Majalla"/>
          <w:bCs/>
          <w:iCs w:val="0"/>
          <w:szCs w:val="32"/>
          <w:rtl/>
          <w:lang w:bidi="ar-SA"/>
        </w:rPr>
        <w:br w:type="page"/>
      </w:r>
    </w:p>
    <w:tbl>
      <w:tblPr>
        <w:bidiVisual/>
        <w:tblW w:w="5000" w:type="pct"/>
        <w:jc w:val="righ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00"/>
        <w:gridCol w:w="5867"/>
        <w:gridCol w:w="4400"/>
      </w:tblGrid>
      <w:tr>
        <w:tblPrEx>
          <w:tblW w:w="5000" w:type="pct"/>
          <w:jc w:val="righ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/>
          <w:tblCellSpacing w:w="15" w:type="dxa"/>
          <w:jc w:val="right"/>
        </w:trPr>
        <w:tc>
          <w:tcPr>
            <w:tcW w:w="1500" w:type="pct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bidi/>
              <w:jc w:val="left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  <w:t>التعديل رقم : 2</w:t>
            </w:r>
          </w:p>
        </w:tc>
        <w:tc>
          <w:tcPr>
            <w:tcW w:w="2000" w:type="pct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  <w:t>الفريق الاشتراكي - المعارضة الاتحادية</w:t>
            </w:r>
          </w:p>
        </w:tc>
        <w:tc>
          <w:tcPr>
            <w:tcW w:w="1500" w:type="pct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bidi/>
              <w:jc w:val="right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  <w:t>نوع التعديل : حذف</w:t>
            </w:r>
          </w:p>
        </w:tc>
      </w:tr>
    </w:tbl>
    <w:p>
      <w:pPr>
        <w:rPr>
          <w:rFonts w:ascii="Times New Roman" w:eastAsia="Times New Roman" w:hAnsi="Times New Roman" w:cs="Times New Roman"/>
        </w:rPr>
      </w:pPr>
    </w:p>
    <w:tbl>
      <w:tblPr>
        <w:bidiVisual/>
        <w:tblW w:w="5000" w:type="pct"/>
        <w:jc w:val="right"/>
        <w:tblInd w:w="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39"/>
        <w:gridCol w:w="5139"/>
        <w:gridCol w:w="4405"/>
      </w:tblGrid>
      <w:tr>
        <w:tblPrEx>
          <w:tblW w:w="5000" w:type="pct"/>
          <w:jc w:val="right"/>
          <w:tblInd w:w="30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/>
          <w:tblHeader/>
          <w:jc w:val="right"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3D3"/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  <w:t>النص كما جاء في المشروع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3D3"/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  <w:t>نص التعديل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3D3"/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  <w:t>التعليل</w:t>
            </w:r>
          </w:p>
        </w:tc>
      </w:tr>
      <w:tr>
        <w:tblPrEx>
          <w:tblW w:w="5000" w:type="pct"/>
          <w:jc w:val="right"/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right"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  <w:hideMark/>
          </w:tcPr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الفصل 181-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>1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- يجب على الأشخاص الموجودة في حوزتهم البضائع الخاضعة للرسوم والضرائب عند الاستيراد أو الضرائب الداخلية على الاستهلاك أو الأشخاص . . . . . . . . . . . . . . . . . . . . . . ...</w:t>
            </w:r>
          </w:p>
          <w:p>
            <w:pPr>
              <w:bidi/>
              <w:spacing w:before="300" w:after="300"/>
              <w:ind w:left="6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(الباقي لا تغيير فيه)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  <w:hideMark/>
          </w:tcPr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الفصل 181-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>1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- يجب على الأشخاص الموجودة في حوزتهم البضائع الخاضعة للرسوم والضرائب عند الاستيراد أو الضرائب الداخلية على الاستهلاك أو الأشخاص . . . . . . . . . . . . . . . . . . . . . . ...</w:t>
            </w:r>
          </w:p>
          <w:p>
            <w:pPr>
              <w:bidi/>
              <w:spacing w:before="300" w:after="300"/>
              <w:ind w:left="6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(الباقي لا تغيير فيه)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  <w:hideMark/>
          </w:tcPr>
          <w:p>
            <w:pPr>
              <w:bidi/>
              <w:spacing w:before="75" w:after="75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 xml:space="preserve">2222222222 </w:t>
            </w:r>
          </w:p>
        </w:tc>
      </w:tr>
    </w:tbl>
    <w:p>
      <w:pPr>
        <w:bidi/>
        <w:jc w:val="both"/>
        <w:rPr>
          <w:rFonts w:cs="Sakkal Majalla"/>
          <w:bCs/>
          <w:iCs w:val="0"/>
          <w:szCs w:val="32"/>
          <w:rtl/>
          <w:lang w:bidi="ar-SA"/>
        </w:rPr>
      </w:pPr>
      <w:r>
        <w:rPr>
          <w:rFonts w:cs="Sakkal Majalla"/>
          <w:bCs/>
          <w:iCs w:val="0"/>
          <w:szCs w:val="32"/>
          <w:rtl/>
          <w:lang w:bidi="ar-SA"/>
        </w:rPr>
        <w:br w:type="page"/>
      </w:r>
    </w:p>
    <w:sectPr w:rsidSect="004A7A97">
      <w:footerReference w:type="default" r:id="rId4"/>
      <w:type w:val="nextPage"/>
      <w:pgSz w:w="16838" w:h="11906" w:orient="landscape"/>
      <w:pgMar w:top="851" w:right="1103" w:bottom="1135" w:left="993" w:header="142" w:footer="709" w:gutter="0"/>
      <w:pgNumType w:start="1"/>
      <w:cols w:num="1" w:sep="1" w:space="708" w:equalWidth="1"/>
      <w:bidi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single" w:sz="6" w:space="0" w:color="000000"/>
        <w:left w:val="none" w:sz="0" w:space="0" w:color="auto"/>
        <w:bottom w:val="none" w:sz="0" w:space="0" w:color="auto"/>
        <w:right w:val="none" w:sz="0" w:space="0" w:color="auto"/>
      </w:pBdr>
      <w:jc w:val="left"/>
      <w:rPr>
        <w:rFonts w:ascii="Times New Roman" w:eastAsia="Times New Roman" w:hAnsi="Times New Roman" w:cs="Times New Roman"/>
      </w:rPr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1B2CAB"/>
    <w:rsid w:val="0022649F"/>
    <w:rsid w:val="00623E71"/>
    <w:rsid w:val="0066493E"/>
    <w:rsid w:val="006D7F6A"/>
    <w:rsid w:val="00A77B3E"/>
    <w:rsid w:val="00B72707"/>
    <w:rsid w:val="00CA2A55"/>
    <w:rsid w:val="00CC6133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4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