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Safety Manual</w:t>
      </w:r>
    </w:p>
    <w:p>
      <w:pPr>
        <w:pStyle w:val="Heading1"/>
      </w:pPr>
      <w:r>
        <w:t>1. Personal Protective Equipment (PPE)</w:t>
      </w:r>
    </w:p>
    <w:p>
      <w:r>
        <w:t>All employees must wear hard hats, high-visibility vests, and steel-toed boots at all times. Safety glasses are required when operating machinery.</w:t>
      </w:r>
    </w:p>
    <w:p>
      <w:pPr>
        <w:pStyle w:val="Heading1"/>
      </w:pPr>
      <w:r>
        <w:t>2. Site Safety Management</w:t>
      </w:r>
    </w:p>
    <w:p>
      <w:r>
        <w:t>The designated Site Safety Manager (SSM) is responsible for daily inspections and toolbox talks. The current SSM is John Doe.</w:t>
      </w:r>
    </w:p>
    <w:p>
      <w:pPr>
        <w:pStyle w:val="Heading1"/>
      </w:pPr>
      <w:r>
        <w:t>3. Fire Prevention</w:t>
      </w:r>
    </w:p>
    <w:p>
      <w:r>
        <w:t>Fire extinguishers must be placed within 75 feet of every working area. Hot work permits are required for all welding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