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TRAVEL BIRD Week 2 Problem Statement</w:t>
      </w:r>
    </w:p>
    <w:p>
      <w:pPr>
        <w:spacing w:after="160"/>
      </w:pPr>
      <w:r>
        <w:rPr>
          <w:color w:val="5A626A"/>
          <w:sz w:val="18"/>
        </w:rPr>
        <w:t>Group 8  |  Semester 1  |  Standard route  |  Version 1.0  |  16 September 2026</w:t>
      </w:r>
    </w:p>
    <w:p>
      <w:pPr>
        <w:pStyle w:val="Heading1"/>
        <w:keepNext/>
      </w:pPr>
      <w:r>
        <w:t>Falsifiable problem statement</w:t>
      </w:r>
    </w:p>
    <w:p>
      <w:pPr>
        <w:spacing w:after="140"/>
      </w:pPr>
      <w:r>
        <w:rPr>
          <w:b/>
          <w:sz w:val="20"/>
        </w:rPr>
        <w:t>Young adults aged 18 to 30 who seek a brief, calming digital break during study- or work-heavy days may struggle to sustain a warm sense of digital companionship through their current casual games or content. Some options demand more repeated attention than they want, while others provide feedback too repetitive to build attachment, causing them either to abandon the experience or spend more time and attention than intended. We will reject this problem statement if fewer than three of five fresh interviews report both this tension and a meaningful consequence, or if most participants already use an alternative that satisfies them.</w:t>
      </w:r>
    </w:p>
    <w:p>
      <w:pPr>
        <w:pStyle w:val="Heading1"/>
        <w:keepNext/>
      </w:pPr>
      <w:r>
        <w:t>Target situation and current alternatives</w:t>
      </w:r>
    </w:p>
    <w:p>
      <w:r>
        <w:t>Our initial test segment is young adults aged 18 to 30 with limited discretionary attention during demanding study or work periods. The relevant moment is a short break between tasks, after work or study, or before sleep, when they want emotional warmth without beginning a demanding session. Current alternatives include short-form video, music, social media, pet content, and cosy or idle games.</w:t>
      </w:r>
    </w:p>
    <w:p>
      <w:pPr>
        <w:pStyle w:val="Heading1"/>
        <w:keepNext/>
      </w:pPr>
      <w:r>
        <w:t>What current evidence suggests</w:t>
      </w:r>
    </w:p>
    <w:p>
      <w:r>
        <w:t>Public community evidence suggests a possible tension between low attention cost and meaningful, evolving feedback. A Xiaohongshu seeker asked for cute visuals, little effort, occasional feedback, and mobile access (W2-E02). TapTap reviews describe slow interaction and anticipation as reasons to return, while other reviews criticise limited interaction, repetitive content, unclear guidance, and frustrating resource pacing (W2-E04 to W2-E05). Public users also describe saving photos and postcards and remembering small daily care rituals, suggesting that collection and routine can acquire emotional value (W2-E03).</w:t>
      </w:r>
    </w:p>
    <w:p>
      <w:r>
        <w:t>The evidence also challenges an exaggerated opportunity claim. The Xiaohongshu seeker later found Acorn House suitable, and another comment rejected substitution because attachment was tied to the original character (W2-E02). We therefore cannot claim that users have no alternatives or that attachment to another game will transfer to TRAVEL BIRD.</w:t>
      </w:r>
    </w:p>
    <w:p>
      <w:pPr>
        <w:pStyle w:val="Heading1"/>
        <w:keepNext/>
      </w:pPr>
      <w:r>
        <w:t>Project context and validation boundary</w:t>
      </w:r>
    </w:p>
    <w:p>
      <w:r>
        <w:t>The announced closure applies to Tabikaeru China Journey. Downloads, top-ups, and new registrations stopped on 8 September 2026, and server closure is scheduled for 8 December 2026 because the IP licence cooperation expires (W2-E01). This is useful context for studying attachment, collection loss, and replacement discussion. It is not the problem itself and does not justify a clone. TRAVEL BIRD 1.00 remains a solution hypothesis.</w:t>
      </w:r>
    </w:p>
    <w:p>
      <w:r>
        <w:t>The team will conduct five new, consented interviews with the initial segment. We retain the statement only if at least three participants independently describe the same tension, a recent situation, and a meaningful consequence. Public posts and reviews are self-selected secondary evidence: they do not count as fresh conversations and cannot establish prevalence, market size, retention, or willingness to pay.</w:t>
      </w:r>
    </w:p>
    <w:p>
      <w:pPr>
        <w:spacing w:before="100" w:after="0"/>
      </w:pPr>
      <w:r>
        <w:rPr>
          <w:i/>
          <w:color w:val="50565C"/>
          <w:sz w:val="17"/>
        </w:rPr>
        <w:t>Core evidence: W2-E01 to W2-E05. Full links, dates, interpretations, and limitations are in the Week 2 Supporting Pack.</w:t>
      </w:r>
    </w:p>
    <w:sectPr w:rsidR="00FC693F" w:rsidRPr="0006063C" w:rsidSect="00034616">
      <w:footerReference w:type="default" r:id="rId9"/>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747A"/>
        <w:sz w:val="16"/>
      </w:rPr>
      <w:t xml:space="preserve">TRAVEL BIRD  |  Week 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024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