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A3771">
      <w:r>
        <w:rPr>
          <w:rFonts w:ascii="Tahoma" w:hAnsi="Tahoma"/>
          <w:b/>
          <w:color w:val="000000"/>
          <w:sz w:val="34"/>
        </w:rPr>
        <w:t>Week 6 Decision Log</w:t>
      </w:r>
    </w:p>
    <w:p w14:paraId="355B7DC8">
      <w:r>
        <w:t>TRAVEL BIRD  |  ENT303TC · Group 8  |  Project Manager: Jiayi Liu</w:t>
      </w:r>
    </w:p>
    <w:p w14:paraId="0941F2D5">
      <w:r>
        <w:t>Decision: PERSEVERE     Date recorded: 23 October 2026</w:t>
      </w:r>
    </w:p>
    <w:p w14:paraId="045AF1A7">
      <w:pPr>
        <w:pStyle w:val="3"/>
      </w:pPr>
      <w:r>
        <w:t>1. Decision</w:t>
      </w:r>
    </w:p>
    <w:p w14:paraId="7A1EBC33">
      <w:r>
        <w:t>The team has agreed to continue with Travel Bird’s existing core gameplay: bird travel, collecting postcards and seeds, and garden activities. Rather than changing the overall concept, we will focus on making the bird feel more alive and improving the quality of the experience. This direction was discussed in the team chat and supported by members.</w:t>
      </w:r>
    </w:p>
    <w:p w14:paraId="39EF24A0">
      <w:pPr>
        <w:pStyle w:val="3"/>
      </w:pPr>
      <w:r>
        <w:t>2. Why we chose this direction</w:t>
      </w:r>
    </w:p>
    <w:p w14:paraId="73BC23BA">
      <w:r>
        <w:t>The current prototype already connects travel, collection and gardening into a playable experience. The latest development update shows progress on autonomous bird behaviour and animation quality, so improving the existing experience is a more practical next step than redesigning the core loop.</w:t>
      </w:r>
    </w:p>
    <w:p w14:paraId="6A17C81F">
      <w:r>
        <w:t>Our Week 6 persona, journey map and problem-statement revision also point toward a clear design goal: a light, approachable game that players can enjoy in short sessions, with a bird that feels independent without creating pressure to stay online. These research documents were largely developed from simulated interview scenarios, so they guide our next tests rather than prove user demand.</w:t>
      </w:r>
    </w:p>
    <w:p w14:paraId="3176AC53">
      <w:pPr>
        <w:pStyle w:val="3"/>
      </w:pPr>
      <w:r>
        <w:t>3. What changed this week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2"/>
        <w:gridCol w:w="4882"/>
      </w:tblGrid>
      <w:tr w14:paraId="544C13C6">
        <w:trPr>
          <w:jc w:val="center"/>
        </w:trPr>
        <w:tc>
          <w:tcPr>
            <w:tcW w:w="4882" w:type="dxa"/>
            <w:vAlign w:val="center"/>
          </w:tcPr>
          <w:p w14:paraId="30DEB00E">
            <w:pPr>
              <w:spacing w:after="60" w:line="240" w:lineRule="auto"/>
            </w:pPr>
            <w:r>
              <w:rPr>
                <w:rFonts w:ascii="Tahoma" w:hAnsi="Tahoma"/>
                <w:b/>
                <w:sz w:val="18"/>
              </w:rPr>
              <w:t>Area</w:t>
            </w:r>
          </w:p>
        </w:tc>
        <w:tc>
          <w:tcPr>
            <w:tcW w:w="4882" w:type="dxa"/>
            <w:vAlign w:val="center"/>
          </w:tcPr>
          <w:p w14:paraId="7D621575">
            <w:pPr>
              <w:spacing w:after="60" w:line="240" w:lineRule="auto"/>
            </w:pPr>
            <w:r>
              <w:rPr>
                <w:rFonts w:ascii="Tahoma" w:hAnsi="Tahoma"/>
                <w:b/>
                <w:sz w:val="18"/>
              </w:rPr>
              <w:t>Progress reported by the development team</w:t>
            </w:r>
          </w:p>
        </w:tc>
      </w:tr>
      <w:tr w14:paraId="024A6006">
        <w:trPr>
          <w:jc w:val="center"/>
        </w:trPr>
        <w:tc>
          <w:tcPr>
            <w:tcW w:w="4882" w:type="dxa"/>
            <w:vAlign w:val="center"/>
          </w:tcPr>
          <w:p w14:paraId="557D556E">
            <w:pPr>
              <w:spacing w:after="60" w:line="240" w:lineRule="auto"/>
            </w:pPr>
            <w:r>
              <w:rPr>
                <w:rFonts w:ascii="Tahoma" w:hAnsi="Tahoma"/>
                <w:sz w:val="18"/>
              </w:rPr>
              <w:t>Bird behaviour</w:t>
            </w:r>
          </w:p>
        </w:tc>
        <w:tc>
          <w:tcPr>
            <w:tcW w:w="4882" w:type="dxa"/>
            <w:vAlign w:val="center"/>
          </w:tcPr>
          <w:p w14:paraId="7FA5FD93">
            <w:pPr>
              <w:spacing w:after="60" w:line="240" w:lineRule="auto"/>
            </w:pPr>
            <w:r>
              <w:rPr>
                <w:rFonts w:ascii="Tahoma" w:hAnsi="Tahoma"/>
                <w:sz w:val="18"/>
              </w:rPr>
              <w:t>The bird can move independently indoors and in the courtyard, while remaining interactive; activity state can be saved and restored.</w:t>
            </w:r>
          </w:p>
        </w:tc>
      </w:tr>
      <w:tr w14:paraId="04F313E8">
        <w:trPr>
          <w:jc w:val="center"/>
        </w:trPr>
        <w:tc>
          <w:tcPr>
            <w:tcW w:w="4882" w:type="dxa"/>
            <w:vAlign w:val="center"/>
          </w:tcPr>
          <w:p w14:paraId="08F2D0D3">
            <w:pPr>
              <w:spacing w:after="60" w:line="240" w:lineRule="auto"/>
            </w:pPr>
            <w:r>
              <w:rPr>
                <w:rFonts w:ascii="Tahoma" w:hAnsi="Tahoma"/>
                <w:sz w:val="18"/>
              </w:rPr>
              <w:t>Animation and movement</w:t>
            </w:r>
          </w:p>
        </w:tc>
        <w:tc>
          <w:tcPr>
            <w:tcW w:w="4882" w:type="dxa"/>
            <w:vAlign w:val="center"/>
          </w:tcPr>
          <w:p w14:paraId="621B7BFC">
            <w:pPr>
              <w:spacing w:after="60" w:line="240" w:lineRule="auto"/>
            </w:pPr>
            <w:r>
              <w:rPr>
                <w:rFonts w:ascii="Tahoma" w:hAnsi="Tahoma"/>
                <w:sz w:val="18"/>
              </w:rPr>
              <w:t>Daily behaviours were expanded, including walking, watering, foraging, preening, sunbathing, sleeping and flying. Movement transitions, paths and landing animations were refined.</w:t>
            </w:r>
          </w:p>
        </w:tc>
      </w:tr>
      <w:tr w14:paraId="355F6A7B">
        <w:trPr>
          <w:jc w:val="center"/>
        </w:trPr>
        <w:tc>
          <w:tcPr>
            <w:tcW w:w="4882" w:type="dxa"/>
            <w:vAlign w:val="center"/>
          </w:tcPr>
          <w:p w14:paraId="34E83A58">
            <w:pPr>
              <w:spacing w:after="60" w:line="240" w:lineRule="auto"/>
            </w:pPr>
            <w:r>
              <w:rPr>
                <w:rFonts w:ascii="Tahoma" w:hAnsi="Tahoma"/>
                <w:sz w:val="18"/>
              </w:rPr>
              <w:t>Visual polish</w:t>
            </w:r>
          </w:p>
        </w:tc>
        <w:tc>
          <w:tcPr>
            <w:tcW w:w="4882" w:type="dxa"/>
            <w:vAlign w:val="center"/>
          </w:tcPr>
          <w:p w14:paraId="3CC2C342">
            <w:pPr>
              <w:spacing w:after="60" w:line="240" w:lineRule="auto"/>
            </w:pPr>
            <w:r>
              <w:rPr>
                <w:rFonts w:ascii="Tahoma" w:hAnsi="Tahoma"/>
                <w:sz w:val="18"/>
              </w:rPr>
              <w:t>Character proportions, positioning and animation edges were adjusted; visual defects such as flashes, dark edges, clipping and obstruction were addressed.</w:t>
            </w:r>
          </w:p>
        </w:tc>
      </w:tr>
      <w:tr w14:paraId="3782BB74">
        <w:trPr>
          <w:jc w:val="center"/>
        </w:trPr>
        <w:tc>
          <w:tcPr>
            <w:tcW w:w="4882" w:type="dxa"/>
            <w:vAlign w:val="center"/>
          </w:tcPr>
          <w:p w14:paraId="21E2796E">
            <w:pPr>
              <w:spacing w:after="60" w:line="240" w:lineRule="auto"/>
            </w:pPr>
            <w:r>
              <w:rPr>
                <w:rFonts w:ascii="Tahoma" w:hAnsi="Tahoma"/>
                <w:sz w:val="18"/>
              </w:rPr>
              <w:t>Technical checks</w:t>
            </w:r>
          </w:p>
        </w:tc>
        <w:tc>
          <w:tcPr>
            <w:tcW w:w="4882" w:type="dxa"/>
            <w:vAlign w:val="center"/>
          </w:tcPr>
          <w:p w14:paraId="640CF2EE">
            <w:pPr>
              <w:spacing w:after="60" w:line="240" w:lineRule="auto"/>
            </w:pPr>
            <w:r>
              <w:rPr>
                <w:rFonts w:ascii="Tahoma" w:hAnsi="Tahoma"/>
                <w:sz w:val="18"/>
              </w:rPr>
              <w:t>The team reports 211 automated tests passed, a successful production build and browser checks across five screen sizes. The development update states that the latest version was merged to the master branch; repository evidence remains to be linked.</w:t>
            </w:r>
          </w:p>
        </w:tc>
      </w:tr>
    </w:tbl>
    <w:p w14:paraId="5B4E327E">
      <w:r>
        <w:br w:type="page"/>
      </w:r>
    </w:p>
    <w:p w14:paraId="78563AD2">
      <w:pPr>
        <w:pStyle w:val="3"/>
      </w:pPr>
      <w:bookmarkStart w:id="0" w:name="_GoBack"/>
      <w:bookmarkEnd w:id="0"/>
      <w:r>
        <w:t>4. Alternatives considered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2"/>
        <w:gridCol w:w="4882"/>
      </w:tblGrid>
      <w:tr w14:paraId="092306FD">
        <w:trPr>
          <w:jc w:val="center"/>
        </w:trPr>
        <w:tc>
          <w:tcPr>
            <w:tcW w:w="4882" w:type="dxa"/>
            <w:vAlign w:val="center"/>
          </w:tcPr>
          <w:p w14:paraId="72D5BA71">
            <w:pPr>
              <w:spacing w:after="60" w:line="240" w:lineRule="auto"/>
            </w:pPr>
            <w:r>
              <w:rPr>
                <w:rFonts w:ascii="Tahoma" w:hAnsi="Tahoma"/>
                <w:b/>
                <w:sz w:val="18"/>
              </w:rPr>
              <w:t>Option</w:t>
            </w:r>
          </w:p>
        </w:tc>
        <w:tc>
          <w:tcPr>
            <w:tcW w:w="4882" w:type="dxa"/>
            <w:vAlign w:val="center"/>
          </w:tcPr>
          <w:p w14:paraId="6D316A66">
            <w:pPr>
              <w:spacing w:after="60" w:line="240" w:lineRule="auto"/>
            </w:pPr>
            <w:r>
              <w:rPr>
                <w:rFonts w:ascii="Tahoma" w:hAnsi="Tahoma"/>
                <w:b/>
                <w:sz w:val="18"/>
              </w:rPr>
              <w:t>Reason for decision</w:t>
            </w:r>
          </w:p>
        </w:tc>
      </w:tr>
      <w:tr w14:paraId="5AC45E07">
        <w:trPr>
          <w:jc w:val="center"/>
        </w:trPr>
        <w:tc>
          <w:tcPr>
            <w:tcW w:w="4882" w:type="dxa"/>
            <w:vAlign w:val="center"/>
          </w:tcPr>
          <w:p w14:paraId="7E43AA3A">
            <w:pPr>
              <w:spacing w:after="60" w:line="240" w:lineRule="auto"/>
            </w:pPr>
            <w:r>
              <w:rPr>
                <w:rFonts w:ascii="Tahoma" w:hAnsi="Tahoma"/>
                <w:sz w:val="18"/>
              </w:rPr>
              <w:t>Persevere and refine (selected)</w:t>
            </w:r>
          </w:p>
        </w:tc>
        <w:tc>
          <w:tcPr>
            <w:tcW w:w="4882" w:type="dxa"/>
            <w:vAlign w:val="center"/>
          </w:tcPr>
          <w:p w14:paraId="443E70DE">
            <w:pPr>
              <w:spacing w:after="60" w:line="240" w:lineRule="auto"/>
            </w:pPr>
            <w:r>
              <w:rPr>
                <w:rFonts w:ascii="Tahoma" w:hAnsi="Tahoma"/>
                <w:sz w:val="18"/>
              </w:rPr>
              <w:t>Build on the playable prototype and improve autonomy, animation consistency and usability.</w:t>
            </w:r>
          </w:p>
        </w:tc>
      </w:tr>
      <w:tr w14:paraId="7AE2E22A">
        <w:trPr>
          <w:jc w:val="center"/>
        </w:trPr>
        <w:tc>
          <w:tcPr>
            <w:tcW w:w="4882" w:type="dxa"/>
            <w:vAlign w:val="center"/>
          </w:tcPr>
          <w:p w14:paraId="75F0137C">
            <w:pPr>
              <w:spacing w:after="60" w:line="240" w:lineRule="auto"/>
            </w:pPr>
            <w:r>
              <w:rPr>
                <w:rFonts w:ascii="Tahoma" w:hAnsi="Tahoma"/>
                <w:sz w:val="18"/>
              </w:rPr>
              <w:t>Major change to core gameplay</w:t>
            </w:r>
          </w:p>
        </w:tc>
        <w:tc>
          <w:tcPr>
            <w:tcW w:w="4882" w:type="dxa"/>
            <w:vAlign w:val="center"/>
          </w:tcPr>
          <w:p w14:paraId="2E8D3392">
            <w:pPr>
              <w:spacing w:after="60" w:line="240" w:lineRule="auto"/>
            </w:pPr>
            <w:r>
              <w:rPr>
                <w:rFonts w:ascii="Tahoma" w:hAnsi="Tahoma"/>
                <w:sz w:val="18"/>
              </w:rPr>
              <w:t>Not justified by the limited genuine user feedback currently available.</w:t>
            </w:r>
          </w:p>
        </w:tc>
      </w:tr>
      <w:tr w14:paraId="4FB044DD">
        <w:trPr>
          <w:jc w:val="center"/>
        </w:trPr>
        <w:tc>
          <w:tcPr>
            <w:tcW w:w="4882" w:type="dxa"/>
            <w:vAlign w:val="center"/>
          </w:tcPr>
          <w:p w14:paraId="688420B6">
            <w:pPr>
              <w:spacing w:after="60" w:line="240" w:lineRule="auto"/>
            </w:pPr>
            <w:r>
              <w:rPr>
                <w:rFonts w:ascii="Tahoma" w:hAnsi="Tahoma"/>
                <w:sz w:val="18"/>
              </w:rPr>
              <w:t>Large expansion of offline simulation/content</w:t>
            </w:r>
          </w:p>
        </w:tc>
        <w:tc>
          <w:tcPr>
            <w:tcW w:w="4882" w:type="dxa"/>
            <w:vAlign w:val="center"/>
          </w:tcPr>
          <w:p w14:paraId="1588487C">
            <w:pPr>
              <w:spacing w:after="60" w:line="240" w:lineRule="auto"/>
            </w:pPr>
            <w:r>
              <w:rPr>
                <w:rFonts w:ascii="Tahoma" w:hAnsi="Tahoma"/>
                <w:sz w:val="18"/>
              </w:rPr>
              <w:t>Deferred until interaction quality and player interest can be tested more reliably.</w:t>
            </w:r>
          </w:p>
        </w:tc>
      </w:tr>
    </w:tbl>
    <w:p w14:paraId="2AAA98D1">
      <w:pPr>
        <w:pStyle w:val="3"/>
      </w:pPr>
      <w:r>
        <w:t>5. Next steps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2"/>
        <w:gridCol w:w="4882"/>
      </w:tblGrid>
      <w:tr w14:paraId="51535A29">
        <w:trPr>
          <w:jc w:val="center"/>
        </w:trPr>
        <w:tc>
          <w:tcPr>
            <w:tcW w:w="4882" w:type="dxa"/>
            <w:vAlign w:val="center"/>
          </w:tcPr>
          <w:p w14:paraId="302BCDD2">
            <w:pPr>
              <w:spacing w:after="60" w:line="240" w:lineRule="auto"/>
            </w:pPr>
            <w:r>
              <w:rPr>
                <w:rFonts w:ascii="Tahoma" w:hAnsi="Tahoma"/>
                <w:b/>
                <w:sz w:val="18"/>
              </w:rPr>
              <w:t>Owner</w:t>
            </w:r>
          </w:p>
        </w:tc>
        <w:tc>
          <w:tcPr>
            <w:tcW w:w="4882" w:type="dxa"/>
            <w:vAlign w:val="center"/>
          </w:tcPr>
          <w:p w14:paraId="70EE0E37">
            <w:pPr>
              <w:spacing w:after="60" w:line="240" w:lineRule="auto"/>
            </w:pPr>
            <w:r>
              <w:rPr>
                <w:rFonts w:ascii="Tahoma" w:hAnsi="Tahoma"/>
                <w:b/>
                <w:sz w:val="18"/>
              </w:rPr>
              <w:t>Next action</w:t>
            </w:r>
          </w:p>
        </w:tc>
      </w:tr>
      <w:tr w14:paraId="0E6832CF">
        <w:trPr>
          <w:jc w:val="center"/>
        </w:trPr>
        <w:tc>
          <w:tcPr>
            <w:tcW w:w="4882" w:type="dxa"/>
            <w:vAlign w:val="center"/>
          </w:tcPr>
          <w:p w14:paraId="6800FF07">
            <w:pPr>
              <w:spacing w:after="60" w:line="240" w:lineRule="auto"/>
            </w:pPr>
            <w:r>
              <w:rPr>
                <w:rFonts w:ascii="Tahoma" w:hAnsi="Tahoma"/>
                <w:sz w:val="18"/>
              </w:rPr>
              <w:t>Tech Lead — Wei He</w:t>
            </w:r>
          </w:p>
        </w:tc>
        <w:tc>
          <w:tcPr>
            <w:tcW w:w="4882" w:type="dxa"/>
            <w:vAlign w:val="center"/>
          </w:tcPr>
          <w:p w14:paraId="0003F9C2">
            <w:pPr>
              <w:spacing w:after="60" w:line="240" w:lineRule="auto"/>
            </w:pPr>
            <w:r>
              <w:rPr>
                <w:rFonts w:ascii="Tahoma" w:hAnsi="Tahoma"/>
                <w:sz w:val="18"/>
              </w:rPr>
              <w:t>Continue testing the latest build and share the relevant version, commit and test evidence.</w:t>
            </w:r>
          </w:p>
        </w:tc>
      </w:tr>
      <w:tr w14:paraId="492FB3C0">
        <w:trPr>
          <w:jc w:val="center"/>
        </w:trPr>
        <w:tc>
          <w:tcPr>
            <w:tcW w:w="4882" w:type="dxa"/>
            <w:vAlign w:val="center"/>
          </w:tcPr>
          <w:p w14:paraId="7332F8B2">
            <w:pPr>
              <w:spacing w:after="60" w:line="240" w:lineRule="auto"/>
            </w:pPr>
            <w:r>
              <w:rPr>
                <w:rFonts w:ascii="Tahoma" w:hAnsi="Tahoma"/>
                <w:sz w:val="18"/>
              </w:rPr>
              <w:t>QA — Wenbo Li</w:t>
            </w:r>
          </w:p>
        </w:tc>
        <w:tc>
          <w:tcPr>
            <w:tcW w:w="4882" w:type="dxa"/>
            <w:vAlign w:val="center"/>
          </w:tcPr>
          <w:p w14:paraId="73BAE4A3">
            <w:pPr>
              <w:spacing w:after="60" w:line="240" w:lineRule="auto"/>
            </w:pPr>
            <w:r>
              <w:rPr>
                <w:rFonts w:ascii="Tahoma" w:hAnsi="Tahoma"/>
                <w:sz w:val="18"/>
              </w:rPr>
              <w:t>Complete further genuine target-user tests and preserve anonymised raw records and feedback.</w:t>
            </w:r>
          </w:p>
        </w:tc>
      </w:tr>
      <w:tr w14:paraId="015BFB0E">
        <w:trPr>
          <w:jc w:val="center"/>
        </w:trPr>
        <w:tc>
          <w:tcPr>
            <w:tcW w:w="4882" w:type="dxa"/>
            <w:vAlign w:val="center"/>
          </w:tcPr>
          <w:p w14:paraId="5502001D">
            <w:pPr>
              <w:spacing w:after="60" w:line="240" w:lineRule="auto"/>
            </w:pPr>
            <w:r>
              <w:rPr>
                <w:rFonts w:ascii="Tahoma" w:hAnsi="Tahoma"/>
                <w:sz w:val="18"/>
              </w:rPr>
              <w:t>TW — Yanqi Jin</w:t>
            </w:r>
          </w:p>
        </w:tc>
        <w:tc>
          <w:tcPr>
            <w:tcW w:w="4882" w:type="dxa"/>
            <w:vAlign w:val="center"/>
          </w:tcPr>
          <w:p w14:paraId="72D7E2FF">
            <w:pPr>
              <w:spacing w:after="60" w:line="240" w:lineRule="auto"/>
            </w:pPr>
            <w:r>
              <w:rPr>
                <w:rFonts w:ascii="Tahoma" w:hAnsi="Tahoma"/>
                <w:sz w:val="18"/>
              </w:rPr>
              <w:t>Refine insights, persona, journey map and problem statement using verified user observations.</w:t>
            </w:r>
          </w:p>
        </w:tc>
      </w:tr>
      <w:tr w14:paraId="627BA54B">
        <w:trPr>
          <w:jc w:val="center"/>
        </w:trPr>
        <w:tc>
          <w:tcPr>
            <w:tcW w:w="4882" w:type="dxa"/>
            <w:vAlign w:val="center"/>
          </w:tcPr>
          <w:p w14:paraId="4BC628D1">
            <w:pPr>
              <w:spacing w:after="60" w:line="240" w:lineRule="auto"/>
            </w:pPr>
            <w:r>
              <w:rPr>
                <w:rFonts w:ascii="Tahoma" w:hAnsi="Tahoma"/>
                <w:sz w:val="18"/>
              </w:rPr>
              <w:t>CM — Zhitong Li</w:t>
            </w:r>
          </w:p>
        </w:tc>
        <w:tc>
          <w:tcPr>
            <w:tcW w:w="4882" w:type="dxa"/>
            <w:vAlign w:val="center"/>
          </w:tcPr>
          <w:p w14:paraId="3FA17458">
            <w:pPr>
              <w:spacing w:after="60" w:line="240" w:lineRule="auto"/>
            </w:pPr>
            <w:r>
              <w:rPr>
                <w:rFonts w:ascii="Tahoma" w:hAnsi="Tahoma"/>
                <w:sz w:val="18"/>
              </w:rPr>
              <w:t>Link the updated Week 6 documents and supporting files in the evidence register.</w:t>
            </w:r>
          </w:p>
        </w:tc>
      </w:tr>
      <w:tr w14:paraId="6AD757CE">
        <w:trPr>
          <w:jc w:val="center"/>
        </w:trPr>
        <w:tc>
          <w:tcPr>
            <w:tcW w:w="4882" w:type="dxa"/>
            <w:vAlign w:val="center"/>
          </w:tcPr>
          <w:p w14:paraId="2344D519">
            <w:pPr>
              <w:spacing w:after="60" w:line="240" w:lineRule="auto"/>
            </w:pPr>
            <w:r>
              <w:rPr>
                <w:rFonts w:ascii="Tahoma" w:hAnsi="Tahoma"/>
                <w:sz w:val="18"/>
              </w:rPr>
              <w:t>PM — Jiayi Liu</w:t>
            </w:r>
          </w:p>
        </w:tc>
        <w:tc>
          <w:tcPr>
            <w:tcW w:w="4882" w:type="dxa"/>
            <w:vAlign w:val="center"/>
          </w:tcPr>
          <w:p w14:paraId="67308C0E">
            <w:pPr>
              <w:spacing w:after="60" w:line="240" w:lineRule="auto"/>
            </w:pPr>
            <w:r>
              <w:rPr>
                <w:rFonts w:ascii="Tahoma" w:hAnsi="Tahoma"/>
                <w:sz w:val="18"/>
              </w:rPr>
              <w:t>Track outstanding evidence, coordinate the agreed improvements and review whether the direction needs adjustment after further tests.</w:t>
            </w:r>
          </w:p>
        </w:tc>
      </w:tr>
    </w:tbl>
    <w:p w14:paraId="1A608273">
      <w:pPr>
        <w:pStyle w:val="3"/>
      </w:pPr>
      <w:r>
        <w:t>6. Review note</w:t>
      </w:r>
    </w:p>
    <w:p w14:paraId="3E71B7FD">
      <w:r>
        <w:t>We currently have two audio clips from one confirmed real interview participant (P-01). This is a useful starting point, but it does not fulfil the Week 5 target of 3–5 real user interactions. The team will use additional genuine testing to check whether autonomous behaviours improve the experience, whether travel rewards are meaningful and whether the interface remains easy to use.</w:t>
      </w:r>
    </w:p>
    <w:p w14:paraId="652FAEC5">
      <w:r>
        <w:t>Supporting material:weekly development report; W6_Persona_Updated.pdf; W6_Journal_Map_Updated.pdf; W6_Problem_Statement_Revision.docx; P-01 audio files. Evidence links and actual test records should be added to the shared evidence hub.</w:t>
      </w:r>
    </w:p>
    <w:sectPr>
      <w:footerReference r:id="rId5" w:type="default"/>
      <w:pgSz w:w="12240" w:h="15840"/>
      <w:pgMar w:top="1080" w:right="1238" w:bottom="1008" w:left="12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3AB4E">
    <w:pPr>
      <w:pStyle w:val="24"/>
      <w:jc w:val="center"/>
    </w:pPr>
    <w:r>
      <w:rPr>
        <w:rFonts w:ascii="Tahoma" w:hAnsi="Tahoma"/>
        <w:color w:val="000000"/>
        <w:sz w:val="16"/>
      </w:rPr>
      <w:t>TRAVEL BIRD  ·  Group 8  ·  Week 6 Decision Log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DD68A2E"/>
    <w:rsid w:val="DFD5328D"/>
    <w:rsid w:val="FFF86A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ahoma" w:hAnsi="Tahoma" w:eastAsiaTheme="minorEastAsia" w:cstheme="minorBidi"/>
      <w:color w:val="000000"/>
      <w:sz w:val="20"/>
      <w:szCs w:val="22"/>
      <w:lang w:val="en-US" w:eastAsia="en-US" w:bidi="ar-SA"/>
    </w:rPr>
  </w:style>
  <w:style w:type="paragraph" w:styleId="3">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000000"/>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WPS_1614522219</cp:lastModifiedBy>
  <dcterms:modified xsi:type="dcterms:W3CDTF">2026-10-24T00:12:42Z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B8487F25E6DAEC253485DB6A3BECAF63_42</vt:lpwstr>
  </property>
</Properties>
</file>