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TRAVEL BIRD Fresh Interview Guide</w:t>
      </w:r>
    </w:p>
    <w:p>
      <w:pPr>
        <w:spacing w:after="160"/>
      </w:pPr>
      <w:r>
        <w:rPr>
          <w:color w:val="5A626A"/>
          <w:sz w:val="18"/>
        </w:rPr>
        <w:t>Internal team document  |  Week 2  |  Version 1.0  |  16 September 2026</w:t>
      </w:r>
    </w:p>
    <w:p>
      <w:r>
        <w:t>Purpose: test the problem with five young adults aged 18 to 30. Complete the problem interview before showing TRAVEL BIRD. Public comments do not count as these conversations.</w:t>
      </w:r>
    </w:p>
    <w:p>
      <w:pPr>
        <w:pStyle w:val="Heading1"/>
        <w:keepNext/>
      </w:pPr>
      <w:r>
        <w:t>Recruitment mix</w:t>
      </w:r>
    </w:p>
    <w:p>
      <w:pPr>
        <w:spacing w:after="60"/>
        <w:ind w:left="317" w:hanging="259"/>
      </w:pPr>
      <w:r>
        <w:t>•  Two current users of cosy, idle, virtual-pet, or collecting games.</w:t>
      </w:r>
    </w:p>
    <w:p>
      <w:pPr>
        <w:spacing w:after="60"/>
        <w:ind w:left="317" w:hanging="259"/>
      </w:pPr>
      <w:r>
        <w:t>•  Two people who seek short digital breaks but do not use this category.</w:t>
      </w:r>
    </w:p>
    <w:p>
      <w:pPr>
        <w:spacing w:after="60"/>
        <w:ind w:left="317" w:hanging="259"/>
      </w:pPr>
      <w:r>
        <w:t>•  One person who previously stopped using a relevant game.</w:t>
      </w:r>
    </w:p>
    <w:p>
      <w:pPr>
        <w:spacing w:after="60"/>
        <w:ind w:left="317" w:hanging="259"/>
      </w:pPr>
      <w:r>
        <w:t>•  Include both study and work contexts where possible. Do not recruit only friends who already like the demo.</w:t>
      </w:r>
    </w:p>
    <w:p>
      <w:pPr>
        <w:pStyle w:val="Heading1"/>
        <w:keepNext/>
      </w:pPr>
      <w:r>
        <w:t>Interview questions</w:t>
      </w:r>
    </w:p>
    <w:p>
      <w:pPr>
        <w:spacing w:after="60"/>
        <w:ind w:left="374" w:hanging="317"/>
      </w:pPr>
      <w:r>
        <w:t>1.  Tell me about the last time you wanted a short, calming break during a busy study or work day.</w:t>
      </w:r>
    </w:p>
    <w:p>
      <w:pPr>
        <w:spacing w:after="60"/>
        <w:ind w:left="374" w:hanging="317"/>
      </w:pPr>
      <w:r>
        <w:t>2.  What did you open or do? Walk me through what happened.</w:t>
      </w:r>
    </w:p>
    <w:p>
      <w:pPr>
        <w:spacing w:after="60"/>
        <w:ind w:left="374" w:hanging="317"/>
      </w:pPr>
      <w:r>
        <w:t>3.  How much time and attention did it require compared with what you wanted?</w:t>
      </w:r>
    </w:p>
    <w:p>
      <w:pPr>
        <w:spacing w:after="60"/>
        <w:ind w:left="374" w:hanging="317"/>
      </w:pPr>
      <w:r>
        <w:t>4.  What made you return later, or stop using it?</w:t>
      </w:r>
    </w:p>
    <w:p>
      <w:pPr>
        <w:spacing w:after="60"/>
        <w:ind w:left="374" w:hanging="317"/>
      </w:pPr>
      <w:r>
        <w:t>5.  When has a game or digital character felt like companionship rather than a task? What created that feeling?</w:t>
      </w:r>
    </w:p>
    <w:p>
      <w:pPr>
        <w:spacing w:after="60"/>
        <w:ind w:left="374" w:hanging="317"/>
      </w:pPr>
      <w:r>
        <w:t>6.  What becomes repetitive, demanding, or easy to forget in the products you use now?</w:t>
      </w:r>
    </w:p>
    <w:p>
      <w:pPr>
        <w:spacing w:after="60"/>
        <w:ind w:left="374" w:hanging="317"/>
      </w:pPr>
      <w:r>
        <w:t>7.  Is there an existing option that already satisfies you? Why?</w:t>
      </w:r>
    </w:p>
    <w:p>
      <w:pPr>
        <w:spacing w:after="60"/>
        <w:ind w:left="374" w:hanging="317"/>
      </w:pPr>
      <w:r>
        <w:t>8.  When the available options do not fit, what actually happens: no break, lost time, stress, boredom, or something else?</w:t>
      </w:r>
    </w:p>
    <w:p>
      <w:r>
        <w:rPr>
          <w:b/>
        </w:rPr>
        <w:t>Use neutral follow-ups:</w:t>
      </w:r>
      <w:r>
        <w:t xml:space="preserve"> When did that last happen? What did you actually do? How often? Do not ask whether they like our idea.</w:t>
      </w:r>
    </w:p>
    <w:p>
      <w:r>
        <w:br w:type="page"/>
      </w:r>
    </w:p>
    <w:p>
      <w:pPr>
        <w:pStyle w:val="Heading1"/>
        <w:keepNext/>
      </w:pPr>
      <w:r>
        <w:t>Record for each participant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344"/>
            <w:shd w:fill="223A5E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What to capture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Participant ID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P01 to P05; no unnecessary personal data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Date and interviewer</w:t>
            </w:r>
          </w:p>
        </w:tc>
        <w:tc>
          <w:tcPr>
            <w:tcW w:type="dxa" w:w="734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Actual date and team member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Recruitment and consent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How recruited and whether note-taking was agreed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Recent situation</w:t>
            </w:r>
          </w:p>
        </w:tc>
        <w:tc>
          <w:tcPr>
            <w:tcW w:type="dxa" w:w="734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Study or work context, time, and trigger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Current alternative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What they actually use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Tension and consequence</w:t>
            </w:r>
          </w:p>
        </w:tc>
        <w:tc>
          <w:tcPr>
            <w:tcW w:type="dxa" w:w="734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Direct behavioural example; do not paraphrase into a stronger claim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Contrary evidence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Satisfactory alternative, no problem, or different cause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Evidence link</w:t>
            </w:r>
          </w:p>
        </w:tc>
        <w:tc>
          <w:tcPr>
            <w:tcW w:type="dxa" w:w="734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/>
                <w:sz w:val="18"/>
              </w:rPr>
              <w:t>Transcript or notes in the Evidence Hub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rule</w:t>
      </w:r>
    </w:p>
    <w:p>
      <w:r>
        <w:rPr>
          <w:b/>
        </w:rPr>
        <w:t>Retain:</w:t>
      </w:r>
      <w:r>
        <w:t xml:space="preserve"> at least three of five independently report the same tension, a recent situation, and a meaningful consequence.</w:t>
      </w:r>
    </w:p>
    <w:p>
      <w:r>
        <w:rPr>
          <w:b/>
        </w:rPr>
        <w:t>Revise:</w:t>
      </w:r>
      <w:r>
        <w:t xml:space="preserve"> the need exists, but the target, situation, cause, or consequence differs.</w:t>
      </w:r>
    </w:p>
    <w:p>
      <w:r>
        <w:rPr>
          <w:b/>
        </w:rPr>
        <w:t>Reject:</w:t>
      </w:r>
      <w:r>
        <w:t xml:space="preserve"> fewer than three of five report it, or most have a satisfactory alternative with no unresolved consequence.</w:t>
      </w:r>
    </w:p>
    <w:p>
      <w:r>
        <w:t>Keep contradictions and do not change the threshold after seeing the results.</w:t>
      </w:r>
    </w:p>
    <w:p>
      <w:pPr>
        <w:pStyle w:val="Heading1"/>
        <w:keepNext/>
      </w:pPr>
      <w:r>
        <w:t>Optional demo observation after the interview</w:t>
      </w:r>
    </w:p>
    <w:p>
      <w:r>
        <w:t>Give one neutral task: Use this as you naturally would and think aloud. Observe whether the participant understands preparing food, choosing a destination, waiting, returning, and deciding what to do next. Ask which moment felt calming, meaningful, confusing, repetitive, or demanding.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47A"/>
        <w:sz w:val="16"/>
      </w:rPr>
      <w:t xml:space="preserve">TRAVEL BIRD  |  Week 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