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B230E">
      <w:pPr>
        <w:pStyle w:val="14"/>
        <w:widowControl/>
      </w:pPr>
      <w:r>
        <w:t>猪事业全产业链量化系统与 AI 决策系统搭建方案</w:t>
      </w:r>
    </w:p>
    <w:p w14:paraId="3E50F374">
      <w:pPr>
        <w:pStyle w:val="11"/>
        <w:widowControl/>
        <w:rPr>
          <w:color w:val="000000"/>
        </w:rPr>
      </w:pPr>
      <w:r>
        <w:rPr>
          <w:color w:val="000000"/>
        </w:rPr>
        <w:t>基于两次核心会议记录、产能数据及杨总</w:t>
      </w:r>
      <w:r>
        <w:rPr>
          <w:b/>
          <w:color w:val="000000"/>
        </w:rPr>
        <w:t>五层架构方法论</w:t>
      </w:r>
      <w:r>
        <w:rPr>
          <w:color w:val="000000"/>
        </w:rPr>
        <w:t>，完整补充全链路搭建方案，精准对齐战略要求、补齐缺失模块，形成可直接落地的执行文档。</w:t>
      </w:r>
    </w:p>
    <w:p w14:paraId="685C75B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系统背景与核心目标</w:t>
      </w:r>
    </w:p>
    <w:p w14:paraId="485D7EA1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战略契机与紧迫性</w:t>
      </w:r>
    </w:p>
    <w:p w14:paraId="2C8A18DD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市场窗口期</w:t>
      </w:r>
      <w:r>
        <w:rPr>
          <w:color w:val="000000"/>
        </w:rPr>
        <w:t>：当前毛猪价格 8.6 元 / 公斤，远低于社会平均成本 13 元 / 公斤、公司成本 14.5 元 / 公斤；生猪期货预测 8 月回升至 16 元 / 公斤，存在 4-5 个月的时间套利窗口</w:t>
      </w:r>
      <w:bookmarkStart w:id="0" w:name="_GoBack"/>
      <w:bookmarkEnd w:id="0"/>
    </w:p>
    <w:p w14:paraId="7E3FD653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亏损现状</w:t>
      </w:r>
      <w:r>
        <w:rPr>
          <w:color w:val="000000"/>
        </w:rPr>
        <w:t>：卖毛猪亏 2400 元 / 头，卖白条亏 570 元 / 头，每日 4 万头出栏对应每日潜在亏损 9600 万元</w:t>
      </w:r>
    </w:p>
    <w:p w14:paraId="2D22A548">
      <w:pPr>
        <w:pStyle w:val="11"/>
        <w:widowControl/>
        <w:numPr>
          <w:ilvl w:val="0"/>
          <w:numId w:val="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行业对标</w:t>
      </w:r>
      <w:r>
        <w:rPr>
          <w:color w:val="000000"/>
        </w:rPr>
        <w:t>：牧原已建成成熟的产业链 AI 数字系统，公司战房目前仅为 "参观型"，未实现工具化和决策化</w:t>
      </w:r>
    </w:p>
    <w:p w14:paraId="0056823F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三层目标体系</w:t>
      </w:r>
    </w:p>
    <w:p w14:paraId="58EBFF94">
      <w:pPr>
        <w:pStyle w:val="25"/>
        <w:widowControl/>
      </w:pPr>
      <w:r>
        <w:t>表格</w:t>
      </w:r>
    </w:p>
    <w:tbl>
      <w:tblPr>
        <w:tblStyle w:val="15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1926"/>
        <w:gridCol w:w="5048"/>
      </w:tblGrid>
      <w:tr w14:paraId="6B3A5477">
        <w:trPr>
          <w:tblHeader/>
          <w:tblCellSpacing w:w="15" w:type="dxa"/>
        </w:trPr>
        <w:tc>
          <w:tcPr>
            <w:tcW w:w="805" w:type="pct"/>
            <w:vAlign w:val="center"/>
          </w:tcPr>
          <w:p w14:paraId="3B22C7A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周期</w:t>
            </w:r>
          </w:p>
        </w:tc>
        <w:tc>
          <w:tcPr>
            <w:tcW w:w="1133" w:type="pct"/>
            <w:vAlign w:val="center"/>
          </w:tcPr>
          <w:p w14:paraId="4DCF1D56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核心目标</w:t>
            </w:r>
          </w:p>
        </w:tc>
        <w:tc>
          <w:tcPr>
            <w:tcW w:w="2989" w:type="pct"/>
            <w:vAlign w:val="center"/>
          </w:tcPr>
          <w:p w14:paraId="03F53689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关键成果</w:t>
            </w:r>
          </w:p>
        </w:tc>
      </w:tr>
      <w:tr w14:paraId="3975E772">
        <w:trPr>
          <w:tblCellSpacing w:w="15" w:type="dxa"/>
        </w:trPr>
        <w:tc>
          <w:tcPr>
            <w:tcW w:w="805" w:type="pct"/>
            <w:vAlign w:val="center"/>
          </w:tcPr>
          <w:p w14:paraId="1BD01A8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短期（3-6 个月）</w:t>
            </w:r>
          </w:p>
        </w:tc>
        <w:tc>
          <w:tcPr>
            <w:tcW w:w="1133" w:type="pct"/>
            <w:vAlign w:val="center"/>
          </w:tcPr>
          <w:p w14:paraId="7B96EB9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最大化减亏，战房工具化</w:t>
            </w:r>
          </w:p>
        </w:tc>
        <w:tc>
          <w:tcPr>
            <w:tcW w:w="2989" w:type="pct"/>
            <w:vAlign w:val="center"/>
          </w:tcPr>
          <w:p w14:paraId="739C076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4 万头 / 天全部分割储存；实现红黄绿预警 + 自动派单；战房成为日常决策必备工具</w:t>
            </w:r>
          </w:p>
        </w:tc>
      </w:tr>
      <w:tr w14:paraId="095EBB78">
        <w:trPr>
          <w:tblCellSpacing w:w="15" w:type="dxa"/>
        </w:trPr>
        <w:tc>
          <w:tcPr>
            <w:tcW w:w="805" w:type="pct"/>
            <w:vAlign w:val="center"/>
          </w:tcPr>
          <w:p w14:paraId="44F13EE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中期（6-12 个月）</w:t>
            </w:r>
          </w:p>
        </w:tc>
        <w:tc>
          <w:tcPr>
            <w:tcW w:w="1133" w:type="pct"/>
            <w:vAlign w:val="center"/>
          </w:tcPr>
          <w:p w14:paraId="40B3E6C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全产业链数据打通，AI 辅助决策</w:t>
            </w:r>
          </w:p>
        </w:tc>
        <w:tc>
          <w:tcPr>
            <w:tcW w:w="2989" w:type="pct"/>
            <w:vAlign w:val="center"/>
          </w:tcPr>
          <w:p w14:paraId="7354080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养殖 - 屠宰 - 深加工 - 销售全链路数据闭环；核心算法迭代至 V2.0；复制到鸡、蛋业务线</w:t>
            </w:r>
          </w:p>
        </w:tc>
      </w:tr>
      <w:tr w14:paraId="7F062C88">
        <w:trPr>
          <w:tblCellSpacing w:w="15" w:type="dxa"/>
        </w:trPr>
        <w:tc>
          <w:tcPr>
            <w:tcW w:w="805" w:type="pct"/>
            <w:vAlign w:val="center"/>
          </w:tcPr>
          <w:p w14:paraId="3749145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长期（1-3 年）</w:t>
            </w:r>
          </w:p>
        </w:tc>
        <w:tc>
          <w:tcPr>
            <w:tcW w:w="1133" w:type="pct"/>
            <w:vAlign w:val="center"/>
          </w:tcPr>
          <w:p w14:paraId="2CB0DA7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建成行业领先的 AI 生态平台</w:t>
            </w:r>
          </w:p>
        </w:tc>
        <w:tc>
          <w:tcPr>
            <w:tcW w:w="2989" w:type="pct"/>
            <w:vAlign w:val="center"/>
          </w:tcPr>
          <w:p w14:paraId="09E8EDD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实现完全自主决策；形成 "数据 - 算法 - 决策 - 执行" 闭环；成为农业数字化标杆</w:t>
            </w:r>
          </w:p>
        </w:tc>
      </w:tr>
    </w:tbl>
    <w:p w14:paraId="21D8CC28">
      <w:pPr>
        <w:pStyle w:val="3"/>
        <w:widowControl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历史经验与教训复盘</w:t>
      </w:r>
    </w:p>
    <w:p w14:paraId="3AE23256">
      <w:pPr>
        <w:pStyle w:val="11"/>
        <w:widowControl/>
        <w:rPr>
          <w:color w:val="000000"/>
        </w:rPr>
      </w:pPr>
      <w:r>
        <w:rPr>
          <w:color w:val="000000"/>
        </w:rPr>
        <w:t>2022-2023 年两次储备肉项目验证了商业模式的可行性，但暴露了核心问题：</w:t>
      </w:r>
    </w:p>
    <w:p w14:paraId="4EC05E60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2022 年第一批</w:t>
      </w:r>
      <w:r>
        <w:rPr>
          <w:color w:val="000000"/>
        </w:rPr>
        <w:t>：存 1.35 亿货，赚 4100 万（净利率 8%，实际收益率 23%）</w:t>
      </w:r>
    </w:p>
    <w:p w14:paraId="09E1C7CB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b/>
          <w:color w:val="000000"/>
        </w:rPr>
        <w:t>2023 年第二批</w:t>
      </w:r>
      <w:r>
        <w:rPr>
          <w:color w:val="000000"/>
        </w:rPr>
        <w:t>：存 3.3 亿货，净利率 2.8%</w:t>
      </w:r>
    </w:p>
    <w:p w14:paraId="15611CD8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核心痛点</w:t>
      </w:r>
      <w:r>
        <w:rPr>
          <w:color w:val="000000"/>
        </w:rPr>
        <w:t>：</w:t>
      </w:r>
    </w:p>
    <w:p w14:paraId="6C3F9017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目标不强制：无全量储存要求，销售部门自主决策导致实际储存量仅为计划的 30%（如襄阳工厂计划 9800 吨，实际仅 3000 吨）</w:t>
      </w:r>
    </w:p>
    <w:p w14:paraId="0DF9FDE6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执行无管控：工厂为当期业绩低价销售储备部位，存在利益输送风险</w:t>
      </w:r>
    </w:p>
    <w:p w14:paraId="7A251D14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数据不打通：核心数据分散在个人 Excel，未接入战房，无过程监控</w:t>
      </w:r>
    </w:p>
    <w:p w14:paraId="67FFB62C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能力不匹配：分割工人、冷库容量、销售渠道三大瓶颈未提前解决</w:t>
      </w:r>
    </w:p>
    <w:p w14:paraId="4EA34673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605FC0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五层核心架构搭建（严格对齐杨总方法论）</w:t>
      </w:r>
    </w:p>
    <w:p w14:paraId="39D9206E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定义层：明确边界、规则与标准（所有决策的基础）</w:t>
      </w:r>
    </w:p>
    <w:p w14:paraId="1765246A">
      <w:pPr>
        <w:pStyle w:val="4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业务边界与核心对象</w:t>
      </w:r>
    </w:p>
    <w:p w14:paraId="69C19A09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首期覆盖环节</w:t>
      </w:r>
      <w:r>
        <w:rPr>
          <w:color w:val="000000"/>
        </w:rPr>
        <w:t>：肥猪出栏→屠宰→分割→速冻→仓储→深加工→销售（未来向上延伸育种、饲料）</w:t>
      </w:r>
    </w:p>
    <w:p w14:paraId="1B9B37AF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高价值储备对象</w:t>
      </w:r>
      <w:r>
        <w:rPr>
          <w:color w:val="000000"/>
        </w:rPr>
        <w:t>：锁定 23 个经过验证的可增值部位（五花、排骨、腿肉等），骨头、内脏、猪头等难增值副产品当日鲜销</w:t>
      </w:r>
    </w:p>
    <w:p w14:paraId="5485A06B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产能对象</w:t>
      </w:r>
      <w:r>
        <w:rPr>
          <w:color w:val="000000"/>
        </w:rPr>
        <w:t>：31 个现有合作屠宰场（6 个自建带分割）+ 全国 3900 家 A 级屠宰场；自有冷库 + 全国标准外租冷库；8 万吨 / 年深加工产能</w:t>
      </w:r>
    </w:p>
    <w:p w14:paraId="7B76FCA7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渠道对象</w:t>
      </w:r>
      <w:r>
        <w:rPr>
          <w:color w:val="000000"/>
        </w:rPr>
        <w:t>：内部深加工产线 &gt; KA 客户 &gt; 批发市场 &gt; 散户</w:t>
      </w:r>
    </w:p>
    <w:p w14:paraId="66576AF9">
      <w:pPr>
        <w:pStyle w:val="4"/>
        <w:widowControl/>
        <w:numPr>
          <w:ilvl w:val="0"/>
          <w:numId w:val="7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核心规则与阈值</w:t>
      </w:r>
    </w:p>
    <w:p w14:paraId="64890489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优先级规则（权重从高到低）：</w:t>
      </w:r>
    </w:p>
    <w:p w14:paraId="20628154">
      <w:pPr>
        <w:pStyle w:val="11"/>
        <w:widowControl/>
        <w:rPr>
          <w:color w:val="000000"/>
        </w:rPr>
      </w:pPr>
      <w:r>
        <w:rPr>
          <w:color w:val="000000"/>
        </w:rPr>
        <w:t>深加工原料供应 &gt; 高价值部位冻储 &gt; 白条跨区销售 &gt; 非储备部位鲜销 &gt; 毛猪直接销售</w:t>
      </w:r>
    </w:p>
    <w:p w14:paraId="1721DC48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盈亏阈值：</w:t>
      </w:r>
    </w:p>
    <w:p w14:paraId="5256EEAC">
      <w:pPr>
        <w:pStyle w:val="11"/>
        <w:widowControl/>
        <w:rPr>
          <w:color w:val="000000"/>
        </w:rPr>
      </w:pPr>
      <w:r>
        <w:rPr>
          <w:color w:val="000000"/>
        </w:rPr>
        <w:t>启动阈值：毛猪价＜13.8 元 / 公斤（社会平均成本）启动全面储备</w:t>
      </w:r>
    </w:p>
    <w:p w14:paraId="1E9BE0FE">
      <w:pPr>
        <w:pStyle w:val="11"/>
        <w:widowControl/>
        <w:rPr>
          <w:color w:val="000000"/>
        </w:rPr>
      </w:pPr>
      <w:r>
        <w:rPr>
          <w:color w:val="000000"/>
        </w:rPr>
        <w:t>储存成本：225 元 / 吨 / 月，4 个月总成本约 1 元 / 公斤</w:t>
      </w:r>
    </w:p>
    <w:p w14:paraId="568B39A9">
      <w:pPr>
        <w:pStyle w:val="11"/>
        <w:widowControl/>
        <w:rPr>
          <w:color w:val="000000"/>
        </w:rPr>
      </w:pPr>
      <w:r>
        <w:rPr>
          <w:color w:val="000000"/>
        </w:rPr>
        <w:t>出货阈值：冻品售价≥10 元 / 公斤（对应未来毛猪 13 元 / 公斤）</w:t>
      </w:r>
    </w:p>
    <w:p w14:paraId="019134A2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禁止规则：无有效长期合同不得低价销售储备部位；深加工产线必须 100% 使用储备原料</w:t>
      </w:r>
    </w:p>
    <w:p w14:paraId="07D28BAA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逻辑层：拆解套利逻辑与瓶颈传导</w:t>
      </w:r>
    </w:p>
    <w:p w14:paraId="344C7E09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四大套利逻辑落地</w:t>
      </w:r>
    </w:p>
    <w:p w14:paraId="491C5559">
      <w:pPr>
        <w:pStyle w:val="25"/>
        <w:widowControl/>
      </w:pPr>
      <w:r>
        <w:t>表格</w:t>
      </w:r>
    </w:p>
    <w:tbl>
      <w:tblPr>
        <w:tblStyle w:val="15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3612"/>
        <w:gridCol w:w="4082"/>
      </w:tblGrid>
      <w:tr w14:paraId="2FEC7509">
        <w:trPr>
          <w:tblHeader/>
          <w:tblCellSpacing w:w="15" w:type="dxa"/>
        </w:trPr>
        <w:tc>
          <w:tcPr>
            <w:tcW w:w="375" w:type="pct"/>
            <w:vAlign w:val="center"/>
          </w:tcPr>
          <w:p w14:paraId="05C4EEF5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套利类型</w:t>
            </w:r>
          </w:p>
        </w:tc>
        <w:tc>
          <w:tcPr>
            <w:tcW w:w="2140" w:type="pct"/>
            <w:vAlign w:val="center"/>
          </w:tcPr>
          <w:p w14:paraId="5CCF467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核心逻辑</w:t>
            </w:r>
          </w:p>
        </w:tc>
        <w:tc>
          <w:tcPr>
            <w:tcW w:w="2412" w:type="pct"/>
            <w:vAlign w:val="center"/>
          </w:tcPr>
          <w:p w14:paraId="77E3A2AD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量化指标</w:t>
            </w:r>
          </w:p>
        </w:tc>
      </w:tr>
      <w:tr w14:paraId="54F7486A">
        <w:trPr>
          <w:tblCellSpacing w:w="15" w:type="dxa"/>
        </w:trPr>
        <w:tc>
          <w:tcPr>
            <w:tcW w:w="375" w:type="pct"/>
            <w:vAlign w:val="center"/>
          </w:tcPr>
          <w:p w14:paraId="08BB5CB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时间套利</w:t>
            </w:r>
          </w:p>
        </w:tc>
        <w:tc>
          <w:tcPr>
            <w:tcW w:w="2140" w:type="pct"/>
            <w:vAlign w:val="center"/>
          </w:tcPr>
          <w:p w14:paraId="48DFABE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利用猪价 3-4 个月周期波动，低价储备高价卖出</w:t>
            </w:r>
          </w:p>
        </w:tc>
        <w:tc>
          <w:tcPr>
            <w:tcW w:w="2412" w:type="pct"/>
            <w:vAlign w:val="center"/>
          </w:tcPr>
          <w:p w14:paraId="06F0537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储存周期收益率 =（未来售价 - 当前成本 - 储存成本）/ 当前成本</w:t>
            </w:r>
          </w:p>
        </w:tc>
      </w:tr>
      <w:tr w14:paraId="5C56F876">
        <w:trPr>
          <w:tblCellSpacing w:w="15" w:type="dxa"/>
        </w:trPr>
        <w:tc>
          <w:tcPr>
            <w:tcW w:w="375" w:type="pct"/>
            <w:vAlign w:val="center"/>
          </w:tcPr>
          <w:p w14:paraId="21FAF9D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空间套利</w:t>
            </w:r>
          </w:p>
        </w:tc>
        <w:tc>
          <w:tcPr>
            <w:tcW w:w="2140" w:type="pct"/>
            <w:vAlign w:val="center"/>
          </w:tcPr>
          <w:p w14:paraId="4E28C72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全国产能与价格差调配，降低运输与生产成本</w:t>
            </w:r>
          </w:p>
        </w:tc>
        <w:tc>
          <w:tcPr>
            <w:tcW w:w="2412" w:type="pct"/>
            <w:vAlign w:val="center"/>
          </w:tcPr>
          <w:p w14:paraId="049C6A8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跨区调配收益 = 目的地售价 - 产地售价 - 运输成本</w:t>
            </w:r>
          </w:p>
        </w:tc>
      </w:tr>
      <w:tr w14:paraId="5903CF0A">
        <w:trPr>
          <w:tblCellSpacing w:w="15" w:type="dxa"/>
        </w:trPr>
        <w:tc>
          <w:tcPr>
            <w:tcW w:w="375" w:type="pct"/>
            <w:vAlign w:val="center"/>
          </w:tcPr>
          <w:p w14:paraId="0A11890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实体套利</w:t>
            </w:r>
          </w:p>
        </w:tc>
        <w:tc>
          <w:tcPr>
            <w:tcW w:w="2140" w:type="pct"/>
            <w:vAlign w:val="center"/>
          </w:tcPr>
          <w:p w14:paraId="0E110CF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部位差异化处理 + 深加工增值，提升单品附加值</w:t>
            </w:r>
          </w:p>
        </w:tc>
        <w:tc>
          <w:tcPr>
            <w:tcW w:w="2412" w:type="pct"/>
            <w:vAlign w:val="center"/>
          </w:tcPr>
          <w:p w14:paraId="07B388B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深加工增值率 =（成品售价 - 原料成本 - 加工成本）/ 原料成本</w:t>
            </w:r>
          </w:p>
        </w:tc>
      </w:tr>
      <w:tr w14:paraId="23611BC1">
        <w:trPr>
          <w:tblCellSpacing w:w="15" w:type="dxa"/>
        </w:trPr>
        <w:tc>
          <w:tcPr>
            <w:tcW w:w="375" w:type="pct"/>
            <w:vAlign w:val="center"/>
          </w:tcPr>
          <w:p w14:paraId="7B59B3F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金融套利</w:t>
            </w:r>
          </w:p>
        </w:tc>
        <w:tc>
          <w:tcPr>
            <w:tcW w:w="2140" w:type="pct"/>
            <w:vAlign w:val="center"/>
          </w:tcPr>
          <w:p w14:paraId="599344A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库存质押获取低息贷款，降低资金成本；未来探索期货对冲</w:t>
            </w:r>
          </w:p>
        </w:tc>
        <w:tc>
          <w:tcPr>
            <w:tcW w:w="2412" w:type="pct"/>
            <w:vAlign w:val="center"/>
          </w:tcPr>
          <w:p w14:paraId="022F3CC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资金成本节约额 =（市场利率 - 专项授信利率）× 库存资金占用</w:t>
            </w:r>
          </w:p>
        </w:tc>
      </w:tr>
    </w:tbl>
    <w:p w14:paraId="7123B8C6">
      <w:pPr>
        <w:pStyle w:val="4"/>
        <w:widowControl/>
        <w:numPr>
          <w:ilvl w:val="0"/>
          <w:numId w:val="10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全流程瓶颈传导逻辑</w:t>
      </w:r>
    </w:p>
    <w:p w14:paraId="004263D4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正向瓶颈链</w:t>
      </w:r>
      <w:r>
        <w:rPr>
          <w:color w:val="000000"/>
        </w:rPr>
        <w:t>：出栏量→屠宰能力→分割能力→速冻能力→仓储能力（按最小产能反推每日最大可储备量）</w:t>
      </w:r>
    </w:p>
    <w:p w14:paraId="5C7037B0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反向瓶颈链</w:t>
      </w:r>
      <w:r>
        <w:rPr>
          <w:color w:val="000000"/>
        </w:rPr>
        <w:t>：深加工消化能力→冻品销售能力→决定最大可储备总量（避免库存积压）</w:t>
      </w:r>
    </w:p>
    <w:p w14:paraId="00C740B2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决策逻辑</w:t>
      </w:r>
      <w:r>
        <w:rPr>
          <w:color w:val="000000"/>
        </w:rPr>
        <w:t>：每日动态计算各环节产能缺口，优先满足反向瓶颈（深加工需求），剩余产能最大化冻储，最后处理非储备部位</w:t>
      </w:r>
    </w:p>
    <w:p w14:paraId="1D8D58C1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数据层：构建统一数据底座（解决历史数据孤岛问题）</w:t>
      </w:r>
    </w:p>
    <w:p w14:paraId="120B1D35">
      <w:pPr>
        <w:pStyle w:val="4"/>
        <w:widowControl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核心数据分类与采集体系</w:t>
      </w:r>
    </w:p>
    <w:p w14:paraId="598F3AF6">
      <w:pPr>
        <w:pStyle w:val="11"/>
        <w:widowControl/>
        <w:rPr>
          <w:color w:val="000000"/>
        </w:rPr>
      </w:pPr>
      <w:r>
        <w:rPr>
          <w:color w:val="000000"/>
        </w:rPr>
        <w:t>表格</w:t>
      </w:r>
    </w:p>
    <w:tbl>
      <w:tblPr>
        <w:tblStyle w:val="15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3023"/>
        <w:gridCol w:w="1429"/>
        <w:gridCol w:w="2762"/>
        <w:gridCol w:w="618"/>
      </w:tblGrid>
      <w:tr w14:paraId="24A44D9A">
        <w:trPr>
          <w:tblHeader/>
          <w:tblCellSpacing w:w="15" w:type="dxa"/>
        </w:trPr>
        <w:tc>
          <w:tcPr>
            <w:tcW w:w="292" w:type="pct"/>
            <w:vAlign w:val="center"/>
          </w:tcPr>
          <w:p w14:paraId="1817D4FE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数据维度</w:t>
            </w:r>
          </w:p>
        </w:tc>
        <w:tc>
          <w:tcPr>
            <w:tcW w:w="1788" w:type="pct"/>
            <w:vAlign w:val="center"/>
          </w:tcPr>
          <w:p w14:paraId="314DEAE7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具体指标</w:t>
            </w:r>
          </w:p>
        </w:tc>
        <w:tc>
          <w:tcPr>
            <w:tcW w:w="836" w:type="pct"/>
            <w:vAlign w:val="center"/>
          </w:tcPr>
          <w:p w14:paraId="1B00DF3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更新频率</w:t>
            </w:r>
          </w:p>
        </w:tc>
        <w:tc>
          <w:tcPr>
            <w:tcW w:w="1632" w:type="pct"/>
            <w:vAlign w:val="center"/>
          </w:tcPr>
          <w:p w14:paraId="1EA993F1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数据来源</w:t>
            </w:r>
          </w:p>
        </w:tc>
        <w:tc>
          <w:tcPr>
            <w:tcW w:w="342" w:type="pct"/>
            <w:vAlign w:val="center"/>
          </w:tcPr>
          <w:p w14:paraId="22939F2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责任人</w:t>
            </w:r>
          </w:p>
        </w:tc>
      </w:tr>
      <w:tr w14:paraId="04D698AA">
        <w:trPr>
          <w:tblCellSpacing w:w="15" w:type="dxa"/>
        </w:trPr>
        <w:tc>
          <w:tcPr>
            <w:tcW w:w="292" w:type="pct"/>
            <w:vAlign w:val="center"/>
          </w:tcPr>
          <w:p w14:paraId="4644BEA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养殖端</w:t>
            </w:r>
          </w:p>
        </w:tc>
        <w:tc>
          <w:tcPr>
            <w:tcW w:w="1788" w:type="pct"/>
            <w:vAlign w:val="center"/>
          </w:tcPr>
          <w:p w14:paraId="57F3099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每日出栏量、出栏均重、出栏价、出栏地点、猪只健康度</w:t>
            </w:r>
          </w:p>
        </w:tc>
        <w:tc>
          <w:tcPr>
            <w:tcW w:w="836" w:type="pct"/>
            <w:vAlign w:val="center"/>
          </w:tcPr>
          <w:p w14:paraId="3585E7D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</w:t>
            </w:r>
          </w:p>
        </w:tc>
        <w:tc>
          <w:tcPr>
            <w:tcW w:w="1632" w:type="pct"/>
            <w:vAlign w:val="center"/>
          </w:tcPr>
          <w:p w14:paraId="12C1A45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战房（UWORK/SAP 系统）</w:t>
            </w:r>
          </w:p>
        </w:tc>
        <w:tc>
          <w:tcPr>
            <w:tcW w:w="342" w:type="pct"/>
            <w:vAlign w:val="center"/>
          </w:tcPr>
          <w:p w14:paraId="51A070D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养殖事业部</w:t>
            </w:r>
          </w:p>
        </w:tc>
      </w:tr>
      <w:tr w14:paraId="67D26338">
        <w:trPr>
          <w:tblCellSpacing w:w="15" w:type="dxa"/>
        </w:trPr>
        <w:tc>
          <w:tcPr>
            <w:tcW w:w="292" w:type="pct"/>
            <w:vAlign w:val="center"/>
          </w:tcPr>
          <w:p w14:paraId="2D49AEF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屠宰端</w:t>
            </w:r>
          </w:p>
        </w:tc>
        <w:tc>
          <w:tcPr>
            <w:tcW w:w="1788" w:type="pct"/>
            <w:vAlign w:val="center"/>
          </w:tcPr>
          <w:p w14:paraId="27CB902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自有 / 合作屠宰场产能、实际屠宰量、分割出品率、速冻能力、人工数量</w:t>
            </w:r>
          </w:p>
        </w:tc>
        <w:tc>
          <w:tcPr>
            <w:tcW w:w="836" w:type="pct"/>
            <w:vAlign w:val="center"/>
          </w:tcPr>
          <w:p w14:paraId="0374627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每日（动态）+ 每月（静态）</w:t>
            </w:r>
          </w:p>
        </w:tc>
        <w:tc>
          <w:tcPr>
            <w:tcW w:w="1632" w:type="pct"/>
            <w:vAlign w:val="center"/>
          </w:tcPr>
          <w:p w14:paraId="0DD57A1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战房 + 薛冰团队调研 + 商务局 / 肉类协会</w:t>
            </w:r>
          </w:p>
        </w:tc>
        <w:tc>
          <w:tcPr>
            <w:tcW w:w="342" w:type="pct"/>
            <w:vAlign w:val="center"/>
          </w:tcPr>
          <w:p w14:paraId="7D5278A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薛冰</w:t>
            </w:r>
          </w:p>
        </w:tc>
      </w:tr>
      <w:tr w14:paraId="1B55950E">
        <w:trPr>
          <w:tblCellSpacing w:w="15" w:type="dxa"/>
        </w:trPr>
        <w:tc>
          <w:tcPr>
            <w:tcW w:w="292" w:type="pct"/>
            <w:vAlign w:val="center"/>
          </w:tcPr>
          <w:p w14:paraId="0766DFE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仓储端</w:t>
            </w:r>
          </w:p>
        </w:tc>
        <w:tc>
          <w:tcPr>
            <w:tcW w:w="1788" w:type="pct"/>
            <w:vAlign w:val="center"/>
          </w:tcPr>
          <w:p w14:paraId="2ECDA73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冷库容量、实际库存、库龄、储存成本、出入库记录</w:t>
            </w:r>
          </w:p>
        </w:tc>
        <w:tc>
          <w:tcPr>
            <w:tcW w:w="836" w:type="pct"/>
            <w:vAlign w:val="center"/>
          </w:tcPr>
          <w:p w14:paraId="5CAF1F4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</w:t>
            </w:r>
          </w:p>
        </w:tc>
        <w:tc>
          <w:tcPr>
            <w:tcW w:w="1632" w:type="pct"/>
            <w:vAlign w:val="center"/>
          </w:tcPr>
          <w:p w14:paraId="409E00B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战房 + 仓储管理系统</w:t>
            </w:r>
          </w:p>
        </w:tc>
        <w:tc>
          <w:tcPr>
            <w:tcW w:w="342" w:type="pct"/>
            <w:vAlign w:val="center"/>
          </w:tcPr>
          <w:p w14:paraId="1F34790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仓储事业部</w:t>
            </w:r>
          </w:p>
        </w:tc>
      </w:tr>
      <w:tr w14:paraId="156772B3">
        <w:trPr>
          <w:tblCellSpacing w:w="15" w:type="dxa"/>
        </w:trPr>
        <w:tc>
          <w:tcPr>
            <w:tcW w:w="292" w:type="pct"/>
            <w:vAlign w:val="center"/>
          </w:tcPr>
          <w:p w14:paraId="5D99813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加工端</w:t>
            </w:r>
          </w:p>
        </w:tc>
        <w:tc>
          <w:tcPr>
            <w:tcW w:w="1788" w:type="pct"/>
            <w:vAlign w:val="center"/>
          </w:tcPr>
          <w:p w14:paraId="6B3EC0E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深加工产线产能、实际原料消耗量、成品产量、成品库存</w:t>
            </w:r>
          </w:p>
        </w:tc>
        <w:tc>
          <w:tcPr>
            <w:tcW w:w="836" w:type="pct"/>
            <w:vAlign w:val="center"/>
          </w:tcPr>
          <w:p w14:paraId="07340E3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</w:t>
            </w:r>
          </w:p>
        </w:tc>
        <w:tc>
          <w:tcPr>
            <w:tcW w:w="1632" w:type="pct"/>
            <w:vAlign w:val="center"/>
          </w:tcPr>
          <w:p w14:paraId="252BB9D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战房 + 食品 ERP 系统</w:t>
            </w:r>
          </w:p>
        </w:tc>
        <w:tc>
          <w:tcPr>
            <w:tcW w:w="342" w:type="pct"/>
            <w:vAlign w:val="center"/>
          </w:tcPr>
          <w:p w14:paraId="410A9DE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食品事业部</w:t>
            </w:r>
          </w:p>
        </w:tc>
      </w:tr>
      <w:tr w14:paraId="7200184B">
        <w:trPr>
          <w:tblCellSpacing w:w="15" w:type="dxa"/>
        </w:trPr>
        <w:tc>
          <w:tcPr>
            <w:tcW w:w="292" w:type="pct"/>
            <w:vAlign w:val="center"/>
          </w:tcPr>
          <w:p w14:paraId="45E81D7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销售端</w:t>
            </w:r>
          </w:p>
        </w:tc>
        <w:tc>
          <w:tcPr>
            <w:tcW w:w="1788" w:type="pct"/>
            <w:vAlign w:val="center"/>
          </w:tcPr>
          <w:p w14:paraId="3A7A3AD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各部位鲜销价、冻品价、深加工品价、分地区分渠道销量、客户订单</w:t>
            </w:r>
          </w:p>
        </w:tc>
        <w:tc>
          <w:tcPr>
            <w:tcW w:w="836" w:type="pct"/>
            <w:vAlign w:val="center"/>
          </w:tcPr>
          <w:p w14:paraId="00DEEB4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</w:t>
            </w:r>
          </w:p>
        </w:tc>
        <w:tc>
          <w:tcPr>
            <w:tcW w:w="1632" w:type="pct"/>
            <w:vAlign w:val="center"/>
          </w:tcPr>
          <w:p w14:paraId="6E01D87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战房 + 销售管理系统</w:t>
            </w:r>
          </w:p>
        </w:tc>
        <w:tc>
          <w:tcPr>
            <w:tcW w:w="342" w:type="pct"/>
            <w:vAlign w:val="center"/>
          </w:tcPr>
          <w:p w14:paraId="12F0FE6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侯总</w:t>
            </w:r>
          </w:p>
        </w:tc>
      </w:tr>
      <w:tr w14:paraId="33DEB419">
        <w:trPr>
          <w:tblCellSpacing w:w="15" w:type="dxa"/>
        </w:trPr>
        <w:tc>
          <w:tcPr>
            <w:tcW w:w="292" w:type="pct"/>
            <w:vAlign w:val="center"/>
          </w:tcPr>
          <w:p w14:paraId="75C50D3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外部数据</w:t>
            </w:r>
          </w:p>
        </w:tc>
        <w:tc>
          <w:tcPr>
            <w:tcW w:w="1788" w:type="pct"/>
            <w:vAlign w:val="center"/>
          </w:tcPr>
          <w:p w14:paraId="6BAACF1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全国生猪价格、生猪期货价格、双汇等竞品价格、行业供需数据</w:t>
            </w:r>
          </w:p>
        </w:tc>
        <w:tc>
          <w:tcPr>
            <w:tcW w:w="836" w:type="pct"/>
            <w:vAlign w:val="center"/>
          </w:tcPr>
          <w:p w14:paraId="3C3FAE4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每日 / 每周</w:t>
            </w:r>
          </w:p>
        </w:tc>
        <w:tc>
          <w:tcPr>
            <w:tcW w:w="1632" w:type="pct"/>
            <w:vAlign w:val="center"/>
          </w:tcPr>
          <w:p w14:paraId="323CBC5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市场调研 + 行业协会 + 期货交易所</w:t>
            </w:r>
          </w:p>
        </w:tc>
        <w:tc>
          <w:tcPr>
            <w:tcW w:w="342" w:type="pct"/>
            <w:vAlign w:val="center"/>
          </w:tcPr>
          <w:p w14:paraId="2CD1554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市场部</w:t>
            </w:r>
          </w:p>
        </w:tc>
      </w:tr>
      <w:tr w14:paraId="57FCD2F0">
        <w:trPr>
          <w:tblCellSpacing w:w="15" w:type="dxa"/>
        </w:trPr>
        <w:tc>
          <w:tcPr>
            <w:tcW w:w="292" w:type="pct"/>
            <w:vAlign w:val="center"/>
          </w:tcPr>
          <w:p w14:paraId="6BFBFEA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成本数据</w:t>
            </w:r>
          </w:p>
        </w:tc>
        <w:tc>
          <w:tcPr>
            <w:tcW w:w="1788" w:type="pct"/>
            <w:vAlign w:val="center"/>
          </w:tcPr>
          <w:p w14:paraId="0D5EA17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屠宰费、分割费、运输费、资金成本、人工成本</w:t>
            </w:r>
          </w:p>
        </w:tc>
        <w:tc>
          <w:tcPr>
            <w:tcW w:w="836" w:type="pct"/>
            <w:vAlign w:val="center"/>
          </w:tcPr>
          <w:p w14:paraId="10E4D31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每月</w:t>
            </w:r>
          </w:p>
        </w:tc>
        <w:tc>
          <w:tcPr>
            <w:tcW w:w="1632" w:type="pct"/>
            <w:vAlign w:val="center"/>
          </w:tcPr>
          <w:p w14:paraId="6CF98A1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财务部</w:t>
            </w:r>
          </w:p>
        </w:tc>
        <w:tc>
          <w:tcPr>
            <w:tcW w:w="342" w:type="pct"/>
            <w:vAlign w:val="center"/>
          </w:tcPr>
          <w:p w14:paraId="16F46CB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郑丽云</w:t>
            </w:r>
          </w:p>
        </w:tc>
      </w:tr>
    </w:tbl>
    <w:p w14:paraId="071C405C">
      <w:pPr>
        <w:pStyle w:val="4"/>
        <w:widowControl/>
        <w:numPr>
          <w:ilvl w:val="0"/>
          <w:numId w:val="1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数据治理规范</w:t>
      </w:r>
    </w:p>
    <w:p w14:paraId="469AF4FD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统一标准：所有指标定义、单位、统计口径统一（如分割出品率按 120 公斤标准猪计算）</w:t>
      </w:r>
    </w:p>
    <w:p w14:paraId="71AD51A9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动态更新机制：现有 31 个屠宰场每日自动上传数据；新增合作屠宰场将 "数据开放" 作为合作前提；外部数据每周更新一次</w:t>
      </w:r>
    </w:p>
    <w:p w14:paraId="36D98558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历史数据积累：完整整理 22/23 年储备肉项目的所有原始数据，用于模型训练与回测</w:t>
      </w:r>
    </w:p>
    <w:p w14:paraId="25845483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算法层：从 Excel 公式升级为量化优化引擎</w:t>
      </w:r>
    </w:p>
    <w:p w14:paraId="4418497D">
      <w:pPr>
        <w:pStyle w:val="4"/>
        <w:widowControl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核心算法模块</w:t>
      </w:r>
    </w:p>
    <w:p w14:paraId="42CE5C94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每日最优分配算法（核心中的核心）</w:t>
      </w:r>
    </w:p>
    <w:p w14:paraId="78D530E7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目标函数：总减亏额最大化</w:t>
      </w:r>
    </w:p>
    <w:p w14:paraId="4957987D">
      <w:pPr>
        <w:pStyle w:val="11"/>
        <w:widowControl/>
        <w:rPr>
          <w:color w:val="000000"/>
        </w:rPr>
      </w:pPr>
      <w:r>
        <w:rPr>
          <w:color w:val="000000"/>
        </w:rPr>
        <w:t>plaintext</w:t>
      </w:r>
    </w:p>
    <w:p w14:paraId="2E32F00B">
      <w:pPr>
        <w:pStyle w:val="11"/>
        <w:widowControl/>
        <w:rPr>
          <w:color w:val="000000"/>
        </w:rPr>
      </w:pPr>
      <w:r>
        <w:rPr>
          <w:color w:val="000000"/>
        </w:rPr>
        <w:t>总减亏 = （不销售亏损毛猪/白条的损失避免） + 深加工增值收益 + 冻品未来预期收益 - 储存成本 - 运输成本 - 人工成本</w:t>
      </w:r>
    </w:p>
    <w:p w14:paraId="4BE764FC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约束条件：各环节产能上限、运输距离上限（≤500 公里）、资金上限、客户订单需求</w:t>
      </w:r>
    </w:p>
    <w:p w14:paraId="477740F0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算法选择：混合整数线性规划（MILP）解决每日实时分配问题；遗传算法优化周 / 月中长期计划</w:t>
      </w:r>
    </w:p>
    <w:p w14:paraId="16AD2FA2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权重设置：深加工收益（10）&gt; 冻品储备收益（8）&gt; 白条销售收益（3）&gt; 毛猪销售收益（1）</w:t>
      </w:r>
    </w:p>
    <w:p w14:paraId="3F2C6BF9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价格预测算法</w:t>
      </w:r>
    </w:p>
    <w:p w14:paraId="06ADEBD6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输入：历史价格数据、生猪期货价格、能繁母猪存栏量、消费季节性因素</w:t>
      </w:r>
    </w:p>
    <w:p w14:paraId="4A632686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输出：未来 3-6 个月各部位价格预测值与置信区间</w:t>
      </w:r>
    </w:p>
    <w:p w14:paraId="3D7ABB24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验证：用 22/23 年数据回测，要求预测准确率≥80%</w:t>
      </w:r>
    </w:p>
    <w:p w14:paraId="740A52F1">
      <w:pPr>
        <w:pStyle w:val="5"/>
        <w:widowControl/>
        <w:numPr>
          <w:ilvl w:val="0"/>
          <w:numId w:val="15"/>
        </w:numPr>
        <w:ind w:left="0" w:leftChars="0" w:firstLine="0" w:firstLineChars="0"/>
        <w:rPr>
          <w:b w:val="0"/>
          <w:bdr w:val="none" w:sz="0" w:space="0"/>
        </w:rPr>
      </w:pPr>
      <w:r>
        <w:t>异常预警与根因分析算法</w:t>
      </w:r>
    </w:p>
    <w:p w14:paraId="3D9A7A1F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红黄绿三色预警体系：</w:t>
      </w:r>
    </w:p>
    <w:p w14:paraId="7B053F34">
      <w:pPr>
        <w:pStyle w:val="11"/>
        <w:widowControl/>
        <w:rPr>
          <w:color w:val="000000"/>
        </w:rPr>
      </w:pPr>
      <w:r>
        <w:rPr>
          <w:color w:val="000000"/>
        </w:rPr>
        <w:t>红色预警：实际储备量＜计划的 70%、价格跌破阈值、产能缺口＞30%</w:t>
      </w:r>
    </w:p>
    <w:p w14:paraId="45A47E6B">
      <w:pPr>
        <w:pStyle w:val="11"/>
        <w:widowControl/>
        <w:rPr>
          <w:color w:val="000000"/>
        </w:rPr>
      </w:pPr>
      <w:r>
        <w:rPr>
          <w:color w:val="000000"/>
        </w:rPr>
        <w:t>黄色预警：实际储备量 70%-90%、产能缺口 10%-30%</w:t>
      </w:r>
    </w:p>
    <w:p w14:paraId="4E826DE3">
      <w:pPr>
        <w:pStyle w:val="11"/>
        <w:widowControl/>
        <w:rPr>
          <w:color w:val="000000"/>
        </w:rPr>
      </w:pPr>
      <w:r>
        <w:rPr>
          <w:color w:val="000000"/>
        </w:rPr>
        <w:t>绿色预警：正常运行</w:t>
      </w:r>
    </w:p>
    <w:p w14:paraId="16A5B28A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根因分析：自动定位问题节点（如 "襄阳储备未达标→分割工人缺口 50 人"），并基于历史案例给出解决方案</w:t>
      </w:r>
    </w:p>
    <w:p w14:paraId="0CB9C69B">
      <w:pPr>
        <w:pStyle w:val="4"/>
        <w:widowControl/>
        <w:numPr>
          <w:ilvl w:val="0"/>
          <w:numId w:val="14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算法迭代机制</w:t>
      </w:r>
    </w:p>
    <w:p w14:paraId="3CFF0A5C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每日复盘实际执行结果与算法预测的偏差，每周更新一次参数权重</w:t>
      </w:r>
    </w:p>
    <w:p w14:paraId="3E98FA42">
      <w:pPr>
        <w:pStyle w:val="11"/>
        <w:widowControl/>
        <w:numPr>
          <w:ilvl w:val="0"/>
          <w:numId w:val="1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每季度进行一次大版本算法升级，融入新的业务场景与数据</w:t>
      </w:r>
    </w:p>
    <w:p w14:paraId="7DA85BCE">
      <w:pPr>
        <w:pStyle w:val="3"/>
        <w:widowControl/>
        <w:numPr>
          <w:ilvl w:val="0"/>
          <w:numId w:val="6"/>
        </w:numPr>
        <w:ind w:left="0" w:leftChars="0" w:firstLine="0" w:firstLineChars="0"/>
        <w:rPr>
          <w:b w:val="0"/>
          <w:bdr w:val="none" w:sz="0" w:space="0"/>
        </w:rPr>
      </w:pPr>
      <w:r>
        <w:t>算力层：弹性算力架构支撑</w:t>
      </w:r>
    </w:p>
    <w:p w14:paraId="788748C5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基础算力：战房现有服务器用于数据存储与日常批量计算</w:t>
      </w:r>
    </w:p>
    <w:p w14:paraId="08CD0EA0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b w:val="0"/>
          <w:color w:val="000000"/>
          <w:bdr w:val="none" w:sz="0" w:space="0"/>
        </w:rPr>
      </w:pPr>
      <w:r>
        <w:rPr>
          <w:color w:val="000000"/>
        </w:rPr>
        <w:t>AI 算力：对接公司通用大模型平台，用于自然语言处理、异常分析、决策建议生成</w:t>
      </w:r>
    </w:p>
    <w:p w14:paraId="7DA00B34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算力调度：每日凌晨 2-4 点进行当日计划全量计算；实时数据更新触发增量计算，确保决策延迟＜1 小时</w:t>
      </w:r>
    </w:p>
    <w:p w14:paraId="364EDF2D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EF78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系统功能模块设计（对应战房四大核心能力）</w:t>
      </w:r>
    </w:p>
    <w:p w14:paraId="612CABBC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全局驾驶舱模块（知道结果）</w:t>
      </w:r>
    </w:p>
    <w:p w14:paraId="0638A1F9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核心指标看板：实时展示每日出栏量、屠宰量、分割量、储备量、库存量、累计减亏金额</w:t>
      </w:r>
    </w:p>
    <w:p w14:paraId="01071F49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地图可视化：全国屠宰场 / 冷库分布热力图、产能利用率地图、物流调度路线图、地区价格差地图</w:t>
      </w:r>
    </w:p>
    <w:p w14:paraId="28D4E9FD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套利收益看板：分类型展示四大套利的实时收益与预期总收益</w:t>
      </w:r>
    </w:p>
    <w:p w14:paraId="7E1926DA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智能调度模块（推动解决）</w:t>
      </w:r>
    </w:p>
    <w:p w14:paraId="79DB7CD5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每日计划自动生成：每日凌晨 5 点自动生成当日全流程计划，包括各屠宰场分配的屠宰量、分割量、储备量；肥猪运输路线与车辆调度；冷库入库计划与深加工原料调拨计划</w:t>
      </w:r>
    </w:p>
    <w:p w14:paraId="1D3FE493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自动派单执行：通过战房 APP 将指令下发给对应负责人（屠宰场厂长、物流司机、仓储管理员）</w:t>
      </w:r>
    </w:p>
    <w:p w14:paraId="3AECA909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执行跟踪：实时反馈执行进度，未按时完成自动升级预警</w:t>
      </w:r>
    </w:p>
    <w:p w14:paraId="6DF7713F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问题定位模块（知道问题）</w:t>
      </w:r>
    </w:p>
    <w:p w14:paraId="555BE954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多维度异常预警弹窗，显示问题类型、影响范围、预计损失</w:t>
      </w:r>
    </w:p>
    <w:p w14:paraId="4A66E5CE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一键查看问题根因分析与推荐解决方案</w:t>
      </w:r>
    </w:p>
    <w:p w14:paraId="4BAC5F80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问题闭环管理：记录问题处理过程与结果，形成知识库</w:t>
      </w:r>
    </w:p>
    <w:p w14:paraId="582EED44">
      <w:pPr>
        <w:pStyle w:val="3"/>
        <w:widowControl/>
        <w:numPr>
          <w:ilvl w:val="0"/>
          <w:numId w:val="21"/>
        </w:numPr>
        <w:ind w:left="0" w:leftChars="0" w:firstLine="0" w:firstLineChars="0"/>
        <w:rPr>
          <w:b w:val="0"/>
          <w:bdr w:val="none" w:sz="0" w:space="0"/>
        </w:rPr>
      </w:pPr>
      <w:r>
        <w:t>决策支持模块（先知先觉）</w:t>
      </w:r>
    </w:p>
    <w:p w14:paraId="6AA0D7F4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情景模拟：支持不同价格、产能、需求情景下的收益模拟（如 "如果 7 月猪价涨到 15 元 / 公斤，总收益增加多少"）</w:t>
      </w:r>
    </w:p>
    <w:p w14:paraId="7420D000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资源规划：自动计算未来 1-3 个月需要的屠宰、仓储、深加工资源，提前安排外租与招聘</w:t>
      </w:r>
    </w:p>
    <w:p w14:paraId="1CED72AE">
      <w:pPr>
        <w:pStyle w:val="11"/>
        <w:widowControl/>
        <w:numPr>
          <w:ilvl w:val="0"/>
          <w:numId w:val="2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出货决策：基于价格预测，自动生成最优出货节奏与渠道分配方案</w:t>
      </w:r>
    </w:p>
    <w:p w14:paraId="5A203EC0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7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21850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核心业务模块落地细则</w:t>
      </w:r>
    </w:p>
    <w:p w14:paraId="2A8A6EA3">
      <w:pPr>
        <w:pStyle w:val="3"/>
        <w:widowControl/>
        <w:numPr>
          <w:ilvl w:val="0"/>
          <w:numId w:val="26"/>
        </w:numPr>
        <w:ind w:left="0" w:leftChars="0" w:firstLine="0" w:firstLineChars="0"/>
        <w:rPr>
          <w:b w:val="0"/>
          <w:bdr w:val="none" w:sz="0" w:space="0"/>
        </w:rPr>
      </w:pPr>
      <w:r>
        <w:t>产能优化与智能调度</w:t>
      </w:r>
    </w:p>
    <w:p w14:paraId="559CD596">
      <w:pPr>
        <w:pStyle w:val="25"/>
        <w:widowControl/>
      </w:pPr>
      <w:r>
        <w:t>表格</w:t>
      </w:r>
    </w:p>
    <w:tbl>
      <w:tblPr>
        <w:tblStyle w:val="15"/>
        <w:tblW w:w="5000" w:type="pct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19"/>
        <w:gridCol w:w="1175"/>
        <w:gridCol w:w="933"/>
        <w:gridCol w:w="1003"/>
        <w:gridCol w:w="2476"/>
        <w:gridCol w:w="2160"/>
      </w:tblGrid>
      <w:tr w14:paraId="491F55A2">
        <w:trPr>
          <w:tblHeader/>
          <w:tblCellSpacing w:w="15" w:type="dxa"/>
        </w:trPr>
        <w:tc>
          <w:tcPr>
            <w:tcW w:w="343" w:type="pct"/>
            <w:vAlign w:val="center"/>
          </w:tcPr>
          <w:p w14:paraId="69565C1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环节</w:t>
            </w:r>
          </w:p>
        </w:tc>
        <w:tc>
          <w:tcPr>
            <w:tcW w:w="684" w:type="pct"/>
            <w:vAlign w:val="center"/>
          </w:tcPr>
          <w:p w14:paraId="7CD2D01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目标产能</w:t>
            </w:r>
          </w:p>
        </w:tc>
        <w:tc>
          <w:tcPr>
            <w:tcW w:w="539" w:type="pct"/>
            <w:vAlign w:val="center"/>
          </w:tcPr>
          <w:p w14:paraId="658EFACA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现有产能</w:t>
            </w:r>
          </w:p>
        </w:tc>
        <w:tc>
          <w:tcPr>
            <w:tcW w:w="581" w:type="pct"/>
            <w:vAlign w:val="center"/>
          </w:tcPr>
          <w:p w14:paraId="4103E8F3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缺口</w:t>
            </w:r>
          </w:p>
        </w:tc>
        <w:tc>
          <w:tcPr>
            <w:tcW w:w="1461" w:type="pct"/>
            <w:vAlign w:val="center"/>
          </w:tcPr>
          <w:p w14:paraId="31742C58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核心制约因素</w:t>
            </w:r>
          </w:p>
        </w:tc>
        <w:tc>
          <w:tcPr>
            <w:tcW w:w="1263" w:type="pct"/>
            <w:vAlign w:val="center"/>
          </w:tcPr>
          <w:p w14:paraId="4F1D298B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解决路径</w:t>
            </w:r>
          </w:p>
        </w:tc>
      </w:tr>
      <w:tr w14:paraId="596DF7A6">
        <w:trPr>
          <w:tblCellSpacing w:w="15" w:type="dxa"/>
        </w:trPr>
        <w:tc>
          <w:tcPr>
            <w:tcW w:w="343" w:type="pct"/>
            <w:vAlign w:val="center"/>
          </w:tcPr>
          <w:p w14:paraId="29DC616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肥猪出栏</w:t>
            </w:r>
          </w:p>
        </w:tc>
        <w:tc>
          <w:tcPr>
            <w:tcW w:w="684" w:type="pct"/>
            <w:vAlign w:val="center"/>
          </w:tcPr>
          <w:p w14:paraId="0E90368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4 万头 / 天</w:t>
            </w:r>
          </w:p>
        </w:tc>
        <w:tc>
          <w:tcPr>
            <w:tcW w:w="539" w:type="pct"/>
            <w:vAlign w:val="center"/>
          </w:tcPr>
          <w:p w14:paraId="46838AD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4 万头 / 天</w:t>
            </w:r>
          </w:p>
        </w:tc>
        <w:tc>
          <w:tcPr>
            <w:tcW w:w="581" w:type="pct"/>
            <w:vAlign w:val="center"/>
          </w:tcPr>
          <w:p w14:paraId="2FE492B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0</w:t>
            </w:r>
          </w:p>
        </w:tc>
        <w:tc>
          <w:tcPr>
            <w:tcW w:w="1461" w:type="pct"/>
            <w:vAlign w:val="center"/>
          </w:tcPr>
          <w:p w14:paraId="65ACC9E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-</w:t>
            </w:r>
          </w:p>
        </w:tc>
        <w:tc>
          <w:tcPr>
            <w:tcW w:w="1263" w:type="pct"/>
            <w:vAlign w:val="center"/>
          </w:tcPr>
          <w:p w14:paraId="206070D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稳定出栏</w:t>
            </w:r>
          </w:p>
        </w:tc>
      </w:tr>
      <w:tr w14:paraId="4DAFF0FE">
        <w:trPr>
          <w:tblCellSpacing w:w="15" w:type="dxa"/>
        </w:trPr>
        <w:tc>
          <w:tcPr>
            <w:tcW w:w="343" w:type="pct"/>
            <w:vAlign w:val="center"/>
          </w:tcPr>
          <w:p w14:paraId="20799BF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屠宰</w:t>
            </w:r>
          </w:p>
        </w:tc>
        <w:tc>
          <w:tcPr>
            <w:tcW w:w="684" w:type="pct"/>
            <w:vAlign w:val="center"/>
          </w:tcPr>
          <w:p w14:paraId="100D64F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4 万头 / 天</w:t>
            </w:r>
          </w:p>
        </w:tc>
        <w:tc>
          <w:tcPr>
            <w:tcW w:w="539" w:type="pct"/>
            <w:vAlign w:val="center"/>
          </w:tcPr>
          <w:p w14:paraId="7574D3C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2 万头 / 天</w:t>
            </w:r>
          </w:p>
        </w:tc>
        <w:tc>
          <w:tcPr>
            <w:tcW w:w="581" w:type="pct"/>
            <w:vAlign w:val="center"/>
          </w:tcPr>
          <w:p w14:paraId="2BEF84A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2 万头 / 天</w:t>
            </w:r>
          </w:p>
        </w:tc>
        <w:tc>
          <w:tcPr>
            <w:tcW w:w="1461" w:type="pct"/>
            <w:vAlign w:val="center"/>
          </w:tcPr>
          <w:p w14:paraId="692137B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自有屠宰场仅 6 个，OEM 厂多无分割能力</w:t>
            </w:r>
          </w:p>
        </w:tc>
        <w:tc>
          <w:tcPr>
            <w:tcW w:w="1263" w:type="pct"/>
            <w:vAlign w:val="center"/>
          </w:tcPr>
          <w:p w14:paraId="01219924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整合 A 级屠宰场，优先选带分割能力</w:t>
            </w:r>
          </w:p>
        </w:tc>
      </w:tr>
      <w:tr w14:paraId="0644445C">
        <w:trPr>
          <w:tblCellSpacing w:w="15" w:type="dxa"/>
        </w:trPr>
        <w:tc>
          <w:tcPr>
            <w:tcW w:w="343" w:type="pct"/>
            <w:vAlign w:val="center"/>
          </w:tcPr>
          <w:p w14:paraId="5CE87B8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分割</w:t>
            </w:r>
          </w:p>
        </w:tc>
        <w:tc>
          <w:tcPr>
            <w:tcW w:w="684" w:type="pct"/>
            <w:vAlign w:val="center"/>
          </w:tcPr>
          <w:p w14:paraId="3C527F69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4 万头 / 天</w:t>
            </w:r>
          </w:p>
        </w:tc>
        <w:tc>
          <w:tcPr>
            <w:tcW w:w="539" w:type="pct"/>
            <w:vAlign w:val="center"/>
          </w:tcPr>
          <w:p w14:paraId="2A6B8DF0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0.8 万头 / 天</w:t>
            </w:r>
          </w:p>
        </w:tc>
        <w:tc>
          <w:tcPr>
            <w:tcW w:w="581" w:type="pct"/>
            <w:vAlign w:val="center"/>
          </w:tcPr>
          <w:p w14:paraId="5BF2127E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3.2 万头 / 天</w:t>
            </w:r>
          </w:p>
        </w:tc>
        <w:tc>
          <w:tcPr>
            <w:tcW w:w="1461" w:type="pct"/>
            <w:vAlign w:val="center"/>
          </w:tcPr>
          <w:p w14:paraId="0BCC253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熟练分割工人不足（培养需 2-3 个月）</w:t>
            </w:r>
          </w:p>
        </w:tc>
        <w:tc>
          <w:tcPr>
            <w:tcW w:w="1263" w:type="pct"/>
            <w:vAlign w:val="center"/>
          </w:tcPr>
          <w:p w14:paraId="76C994D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外聘工人 + 内部培训 + 外协分割</w:t>
            </w:r>
          </w:p>
        </w:tc>
      </w:tr>
      <w:tr w14:paraId="7522021B">
        <w:trPr>
          <w:tblCellSpacing w:w="15" w:type="dxa"/>
        </w:trPr>
        <w:tc>
          <w:tcPr>
            <w:tcW w:w="343" w:type="pct"/>
            <w:vAlign w:val="center"/>
          </w:tcPr>
          <w:p w14:paraId="3DC4543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速冻</w:t>
            </w:r>
          </w:p>
        </w:tc>
        <w:tc>
          <w:tcPr>
            <w:tcW w:w="684" w:type="pct"/>
            <w:vAlign w:val="center"/>
          </w:tcPr>
          <w:p w14:paraId="3B2E32B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3120 吨 / 天</w:t>
            </w:r>
          </w:p>
        </w:tc>
        <w:tc>
          <w:tcPr>
            <w:tcW w:w="539" w:type="pct"/>
            <w:vAlign w:val="center"/>
          </w:tcPr>
          <w:p w14:paraId="4EA1759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400 吨 / 天</w:t>
            </w:r>
          </w:p>
        </w:tc>
        <w:tc>
          <w:tcPr>
            <w:tcW w:w="581" w:type="pct"/>
            <w:vAlign w:val="center"/>
          </w:tcPr>
          <w:p w14:paraId="56A7643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2720 吨 / 天</w:t>
            </w:r>
          </w:p>
        </w:tc>
        <w:tc>
          <w:tcPr>
            <w:tcW w:w="1461" w:type="pct"/>
            <w:vAlign w:val="center"/>
          </w:tcPr>
          <w:p w14:paraId="061EEAA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设备和场地限制</w:t>
            </w:r>
          </w:p>
        </w:tc>
        <w:tc>
          <w:tcPr>
            <w:tcW w:w="1263" w:type="pct"/>
            <w:vAlign w:val="center"/>
          </w:tcPr>
          <w:p w14:paraId="57DD4BC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租赁速冻产能 + 设备扩容</w:t>
            </w:r>
          </w:p>
        </w:tc>
      </w:tr>
      <w:tr w14:paraId="3C6699D3">
        <w:trPr>
          <w:tblCellSpacing w:w="15" w:type="dxa"/>
        </w:trPr>
        <w:tc>
          <w:tcPr>
            <w:tcW w:w="343" w:type="pct"/>
            <w:vAlign w:val="center"/>
          </w:tcPr>
          <w:p w14:paraId="543282C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仓储</w:t>
            </w:r>
          </w:p>
        </w:tc>
        <w:tc>
          <w:tcPr>
            <w:tcW w:w="684" w:type="pct"/>
            <w:vAlign w:val="center"/>
          </w:tcPr>
          <w:p w14:paraId="58A040A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37 万吨 / 4 个月</w:t>
            </w:r>
          </w:p>
        </w:tc>
        <w:tc>
          <w:tcPr>
            <w:tcW w:w="539" w:type="pct"/>
            <w:vAlign w:val="center"/>
          </w:tcPr>
          <w:p w14:paraId="0AE1B9AA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5 万吨</w:t>
            </w:r>
          </w:p>
        </w:tc>
        <w:tc>
          <w:tcPr>
            <w:tcW w:w="581" w:type="pct"/>
            <w:vAlign w:val="center"/>
          </w:tcPr>
          <w:p w14:paraId="3D807905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32 万吨</w:t>
            </w:r>
          </w:p>
        </w:tc>
        <w:tc>
          <w:tcPr>
            <w:tcW w:w="1461" w:type="pct"/>
            <w:vAlign w:val="center"/>
          </w:tcPr>
          <w:p w14:paraId="5A28944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自有冷库不足</w:t>
            </w:r>
          </w:p>
        </w:tc>
        <w:tc>
          <w:tcPr>
            <w:tcW w:w="1263" w:type="pct"/>
            <w:vAlign w:val="center"/>
          </w:tcPr>
          <w:p w14:paraId="1C31885B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全国范围租赁标准冷库</w:t>
            </w:r>
          </w:p>
        </w:tc>
      </w:tr>
    </w:tbl>
    <w:p w14:paraId="08F86A5B">
      <w:pPr>
        <w:pStyle w:val="3"/>
        <w:widowControl/>
        <w:numPr>
          <w:ilvl w:val="0"/>
          <w:numId w:val="26"/>
        </w:numPr>
        <w:ind w:left="0" w:leftChars="0" w:firstLine="0" w:firstLineChars="0"/>
        <w:rPr>
          <w:b w:val="0"/>
          <w:bdr w:val="none" w:sz="0" w:space="0"/>
        </w:rPr>
      </w:pPr>
      <w:r>
        <w:t>库存与销售协同</w:t>
      </w:r>
    </w:p>
    <w:p w14:paraId="794429DA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储备部位严格按 23 个高价值品类管理，非储备部位当日清库</w:t>
      </w:r>
    </w:p>
    <w:p w14:paraId="2B7B5AE9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深加工原料优先保障，冻品销售按价格预测分批次出货</w:t>
      </w:r>
    </w:p>
    <w:p w14:paraId="7A97A30D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严禁无合同低价销售储备肉，违规直接追责</w:t>
      </w:r>
    </w:p>
    <w:p w14:paraId="031BFCEE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8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15AD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分阶段实施计划</w:t>
      </w:r>
    </w:p>
    <w:p w14:paraId="388523D3">
      <w:pPr>
        <w:pStyle w:val="3"/>
        <w:widowControl/>
      </w:pPr>
      <w:r>
        <w:t>第一阶段：紧急启动（4 月 17 日 - 4 月 30 日）</w:t>
      </w:r>
    </w:p>
    <w:p w14:paraId="69F945DF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成立项目组：总指挥杨小平，技术负责人张宇，业务负责人郑丽云、薛冰</w:t>
      </w:r>
    </w:p>
    <w:p w14:paraId="2E4F289A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完成五层架构定义、规则、阈值落地</w:t>
      </w:r>
    </w:p>
    <w:p w14:paraId="55B444AF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整理历史模型与数据，接入战房基础数据</w:t>
      </w:r>
    </w:p>
    <w:p w14:paraId="3D67E590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启动全国 A 级屠宰场 / 冷库调研，建立备选库</w:t>
      </w:r>
    </w:p>
    <w:p w14:paraId="7C2E56F7">
      <w:pPr>
        <w:pStyle w:val="3"/>
        <w:widowControl/>
      </w:pPr>
      <w:r>
        <w:t>第二阶段：基础功能上线（5 月 1 日 - 5 月 31 日）</w:t>
      </w:r>
    </w:p>
    <w:p w14:paraId="199BFC4D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完成核心算法开发，实现每日最优分配与红黄绿预警</w:t>
      </w:r>
    </w:p>
    <w:p w14:paraId="55BB93BD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上线智能调度与自动派单功能</w:t>
      </w:r>
    </w:p>
    <w:p w14:paraId="2711840E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完成 10 家外部产能数据接入</w:t>
      </w:r>
    </w:p>
    <w:p w14:paraId="35EA89EC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建立每日数据更新与晨会机制</w:t>
      </w:r>
    </w:p>
    <w:p w14:paraId="56D2810A">
      <w:pPr>
        <w:pStyle w:val="3"/>
        <w:widowControl/>
      </w:pPr>
      <w:r>
        <w:t>第三阶段：系统完善（6 月 1 日 - 6 月 30 日）</w:t>
      </w:r>
    </w:p>
    <w:p w14:paraId="4DD35007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优化算法模型，提升预测准确率</w:t>
      </w:r>
    </w:p>
    <w:p w14:paraId="2BD6F3B3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上线战房大屏与移动端 APP</w:t>
      </w:r>
    </w:p>
    <w:p w14:paraId="2AAC5356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完成全员培训，纳入 KPI 考核</w:t>
      </w:r>
    </w:p>
    <w:p w14:paraId="6E7957C0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实现战房从 "参观型" 到 "工具型" 转型</w:t>
      </w:r>
    </w:p>
    <w:p w14:paraId="15A95969">
      <w:pPr>
        <w:pStyle w:val="3"/>
        <w:widowControl/>
      </w:pPr>
      <w:r>
        <w:t>第四阶段：AI 升级（7 月 1 日 - 9 月 30 日）</w:t>
      </w:r>
    </w:p>
    <w:p w14:paraId="5487125B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上线价格预测与情景模拟功能</w:t>
      </w:r>
    </w:p>
    <w:p w14:paraId="55CA1D1C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打通深加工 - 销售全链路协同</w:t>
      </w:r>
    </w:p>
    <w:p w14:paraId="0F85D87B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复制模式至鸡、蛋业务线</w:t>
      </w:r>
    </w:p>
    <w:p w14:paraId="558D4F09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形成行业数字化标杆案例</w:t>
      </w:r>
    </w:p>
    <w:p w14:paraId="649A540C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9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CDDE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组织保障与风险管理</w:t>
      </w:r>
    </w:p>
    <w:p w14:paraId="6F1672AC">
      <w:pPr>
        <w:pStyle w:val="3"/>
        <w:widowControl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组织保障</w:t>
      </w:r>
    </w:p>
    <w:p w14:paraId="68B3E800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高层挂帅：杨总每周推进会，全员问责制</w:t>
      </w:r>
    </w:p>
    <w:p w14:paraId="11EF41E3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跨部门专项组：财务、IT、养殖、屠宰、食品、销售协同</w:t>
      </w:r>
    </w:p>
    <w:p w14:paraId="093F5557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责任到人：每个模块、数据、算法指定唯一责任人</w:t>
      </w:r>
    </w:p>
    <w:p w14:paraId="0F98C614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专项激励：1000 万元奖金池奖励核心贡献者</w:t>
      </w:r>
    </w:p>
    <w:p w14:paraId="634A8A45">
      <w:pPr>
        <w:pStyle w:val="3"/>
        <w:widowControl/>
        <w:numPr>
          <w:ilvl w:val="0"/>
          <w:numId w:val="29"/>
        </w:numPr>
        <w:ind w:left="0" w:leftChars="0" w:firstLine="0" w:firstLineChars="0"/>
        <w:rPr>
          <w:b w:val="0"/>
          <w:bdr w:val="none" w:sz="0" w:space="0"/>
        </w:rPr>
      </w:pPr>
      <w:r>
        <w:t>风险管控</w:t>
      </w:r>
    </w:p>
    <w:p w14:paraId="521230AD">
      <w:pPr>
        <w:pStyle w:val="11"/>
        <w:widowControl/>
        <w:rPr>
          <w:color w:val="000000"/>
        </w:rPr>
      </w:pPr>
      <w:r>
        <w:rPr>
          <w:color w:val="000000"/>
        </w:rPr>
        <w:t>表格</w:t>
      </w:r>
    </w:p>
    <w:tbl>
      <w:tblPr>
        <w:tblStyle w:val="15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6"/>
        <w:gridCol w:w="5085"/>
      </w:tblGrid>
      <w:tr w14:paraId="2411E6DE">
        <w:trPr>
          <w:tblHeader/>
          <w:tblCellSpacing w:w="15" w:type="dxa"/>
        </w:trPr>
        <w:tc>
          <w:tcPr>
            <w:tcW w:w="0" w:type="auto"/>
            <w:vAlign w:val="center"/>
          </w:tcPr>
          <w:p w14:paraId="19F2C372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风险类型</w:t>
            </w:r>
          </w:p>
        </w:tc>
        <w:tc>
          <w:tcPr>
            <w:tcW w:w="0" w:type="auto"/>
            <w:vAlign w:val="center"/>
          </w:tcPr>
          <w:p w14:paraId="710A7EEE">
            <w:pPr>
              <w:widowControl/>
              <w:spacing w:after="0" w:line="360" w:lineRule="atLeast"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14:ligatures w14:val="none"/>
              </w:rPr>
              <w:t>应对措施</w:t>
            </w:r>
          </w:p>
        </w:tc>
      </w:tr>
      <w:tr w14:paraId="5ABB5C53">
        <w:trPr>
          <w:tblCellSpacing w:w="15" w:type="dxa"/>
        </w:trPr>
        <w:tc>
          <w:tcPr>
            <w:tcW w:w="0" w:type="auto"/>
            <w:vAlign w:val="center"/>
          </w:tcPr>
          <w:p w14:paraId="6FA17471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市场风险</w:t>
            </w:r>
          </w:p>
        </w:tc>
        <w:tc>
          <w:tcPr>
            <w:tcW w:w="0" w:type="auto"/>
            <w:vAlign w:val="center"/>
          </w:tcPr>
          <w:p w14:paraId="055EF73C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分批储备、分批出货，加大深加工比例锁定利润</w:t>
            </w:r>
          </w:p>
        </w:tc>
      </w:tr>
      <w:tr w14:paraId="36F5E6AA">
        <w:trPr>
          <w:tblCellSpacing w:w="15" w:type="dxa"/>
        </w:trPr>
        <w:tc>
          <w:tcPr>
            <w:tcW w:w="0" w:type="auto"/>
            <w:vAlign w:val="center"/>
          </w:tcPr>
          <w:p w14:paraId="06BCAB18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产能风险</w:t>
            </w:r>
          </w:p>
        </w:tc>
        <w:tc>
          <w:tcPr>
            <w:tcW w:w="0" w:type="auto"/>
            <w:vAlign w:val="center"/>
          </w:tcPr>
          <w:p w14:paraId="30EF31DF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提前锁定多家合作方，加速工人培养</w:t>
            </w:r>
          </w:p>
        </w:tc>
      </w:tr>
      <w:tr w14:paraId="45AF36AB">
        <w:trPr>
          <w:tblCellSpacing w:w="15" w:type="dxa"/>
        </w:trPr>
        <w:tc>
          <w:tcPr>
            <w:tcW w:w="0" w:type="auto"/>
            <w:vAlign w:val="center"/>
          </w:tcPr>
          <w:p w14:paraId="770CD22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资金风险</w:t>
            </w:r>
          </w:p>
        </w:tc>
        <w:tc>
          <w:tcPr>
            <w:tcW w:w="0" w:type="auto"/>
            <w:vAlign w:val="center"/>
          </w:tcPr>
          <w:p w14:paraId="3912ECCD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争取银行专项授信，优化资金占用</w:t>
            </w:r>
          </w:p>
        </w:tc>
      </w:tr>
      <w:tr w14:paraId="200769BD">
        <w:trPr>
          <w:tblCellSpacing w:w="15" w:type="dxa"/>
        </w:trPr>
        <w:tc>
          <w:tcPr>
            <w:tcW w:w="0" w:type="auto"/>
            <w:vAlign w:val="center"/>
          </w:tcPr>
          <w:p w14:paraId="379C4382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执行风险</w:t>
            </w:r>
          </w:p>
        </w:tc>
        <w:tc>
          <w:tcPr>
            <w:tcW w:w="0" w:type="auto"/>
            <w:vAlign w:val="center"/>
          </w:tcPr>
          <w:p w14:paraId="7F4C23A7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高层问责、KPI 绑定、严惩违规销售</w:t>
            </w:r>
          </w:p>
        </w:tc>
      </w:tr>
      <w:tr w14:paraId="42F3B011">
        <w:trPr>
          <w:tblCellSpacing w:w="15" w:type="dxa"/>
        </w:trPr>
        <w:tc>
          <w:tcPr>
            <w:tcW w:w="0" w:type="auto"/>
            <w:vAlign w:val="center"/>
          </w:tcPr>
          <w:p w14:paraId="4023AE66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技术风险</w:t>
            </w:r>
          </w:p>
        </w:tc>
        <w:tc>
          <w:tcPr>
            <w:tcW w:w="0" w:type="auto"/>
            <w:vAlign w:val="center"/>
          </w:tcPr>
          <w:p w14:paraId="62729C13">
            <w:pPr>
              <w:widowControl/>
              <w:spacing w:after="0" w:line="360" w:lineRule="atLeast"/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4"/>
                <w14:ligatures w14:val="none"/>
              </w:rPr>
              <w:t>敏捷开发，分阶段上线，优先保障核心功能</w:t>
            </w:r>
          </w:p>
        </w:tc>
      </w:tr>
    </w:tbl>
    <w:p w14:paraId="35EA5ABF">
      <w:pPr>
        <w:widowControl/>
        <w:spacing w:after="0" w:line="240" w:lineRule="auto"/>
        <w:rPr>
          <w:rFonts w:ascii="Arial" w:hAnsi="Arial" w:eastAsia="宋体" w:cs="Arial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</w:rPr>
        <w:pict>
          <v:rect id="_x0000_i1030" o:spt="1" style="height:0.05pt;width:415.3pt;" fillcolor="#00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EF340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预期收益</w:t>
      </w:r>
    </w:p>
    <w:p w14:paraId="6E650203">
      <w:pPr>
        <w:pStyle w:val="3"/>
        <w:widowControl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经济效益</w:t>
      </w:r>
    </w:p>
    <w:p w14:paraId="1838D53A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减亏收益：4 万头 / 天 ×2400 元 / 头 ×120 天 = 115.2 亿元</w:t>
      </w:r>
    </w:p>
    <w:p w14:paraId="25AEAE49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套利收益：37 万吨 ×(16-11) 元 / 公斤 = 18.5 亿元</w:t>
      </w:r>
    </w:p>
    <w:p w14:paraId="26CEB2AE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深加工增值：8 万吨 ×5 元 / 公斤 = 4 亿元</w:t>
      </w:r>
    </w:p>
    <w:p w14:paraId="4D129239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b/>
          <w:color w:val="000000"/>
        </w:rPr>
        <w:t>总预期收益</w:t>
      </w:r>
      <w:r>
        <w:rPr>
          <w:color w:val="000000"/>
        </w:rPr>
        <w:t>：约 137.7 亿元</w:t>
      </w:r>
    </w:p>
    <w:p w14:paraId="0CCCC28C">
      <w:pPr>
        <w:pStyle w:val="3"/>
        <w:widowControl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战略价值</w:t>
      </w:r>
    </w:p>
    <w:p w14:paraId="143062AB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战房彻底工具化、AI 化，成为集团核心决策平台</w:t>
      </w:r>
    </w:p>
    <w:p w14:paraId="683343B4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建立全产业链数据驱动体系，缩小与牧原差距</w:t>
      </w:r>
    </w:p>
    <w:p w14:paraId="4194C0F8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000000"/>
          <w:bdr w:val="none" w:sz="0" w:space="0"/>
        </w:rPr>
      </w:pPr>
      <w:r>
        <w:rPr>
          <w:color w:val="000000"/>
        </w:rPr>
        <w:t>打造农业数字化标杆，为全品类业务复制奠定基础</w:t>
      </w:r>
    </w:p>
    <w:p w14:paraId="2D86C7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200000000000000"/>
    <w:charset w:val="86"/>
    <w:family w:val="auto"/>
    <w:pitch w:val="default"/>
    <w:sig w:usb0="A00002FF" w:usb1="7ACFFCFB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EDECE"/>
    <w:multiLevelType w:val="singleLevel"/>
    <w:tmpl w:val="973EDECE"/>
    <w:lvl w:ilvl="0" w:tentative="0">
      <w:start w:val="1"/>
      <w:numFmt w:val="decimalEnclosedCircleChinese"/>
      <w:suff w:val="space"/>
      <w:lvlText w:val="%1"/>
      <w:lvlJc w:val="left"/>
      <w:pPr>
        <w:ind w:left="0" w:firstLine="0"/>
      </w:pPr>
      <w:rPr>
        <w:rFonts w:hint="eastAsia"/>
      </w:rPr>
    </w:lvl>
  </w:abstractNum>
  <w:abstractNum w:abstractNumId="1">
    <w:nsid w:val="9D5EBF16"/>
    <w:multiLevelType w:val="singleLevel"/>
    <w:tmpl w:val="9D5EBF1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2">
    <w:nsid w:val="9E7FE10C"/>
    <w:multiLevelType w:val="singleLevel"/>
    <w:tmpl w:val="9E7FE10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9FDD6535"/>
    <w:multiLevelType w:val="singleLevel"/>
    <w:tmpl w:val="9FDD653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B7ED99B3"/>
    <w:multiLevelType w:val="singleLevel"/>
    <w:tmpl w:val="B7ED99B3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5">
    <w:nsid w:val="B96DAE60"/>
    <w:multiLevelType w:val="singleLevel"/>
    <w:tmpl w:val="B96DAE6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6">
    <w:nsid w:val="BBEE8E29"/>
    <w:multiLevelType w:val="singleLevel"/>
    <w:tmpl w:val="BBEE8E2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BDFAB771"/>
    <w:multiLevelType w:val="singleLevel"/>
    <w:tmpl w:val="BDFAB771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8">
    <w:nsid w:val="BFFBD51D"/>
    <w:multiLevelType w:val="singleLevel"/>
    <w:tmpl w:val="BFFBD51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CFF5A973"/>
    <w:multiLevelType w:val="singleLevel"/>
    <w:tmpl w:val="CFF5A97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0">
    <w:nsid w:val="E7FF1EA3"/>
    <w:multiLevelType w:val="singleLevel"/>
    <w:tmpl w:val="E7FF1EA3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EF7CB30F"/>
    <w:multiLevelType w:val="singleLevel"/>
    <w:tmpl w:val="EF7CB30F"/>
    <w:lvl w:ilvl="0" w:tentative="0">
      <w:start w:val="0"/>
      <w:numFmt w:val="decimal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>
    <w:nsid w:val="F1D4EBA2"/>
    <w:multiLevelType w:val="singleLevel"/>
    <w:tmpl w:val="F1D4EBA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F7EE5E2B"/>
    <w:multiLevelType w:val="singleLevel"/>
    <w:tmpl w:val="F7EE5E2B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4">
    <w:nsid w:val="F86D0A99"/>
    <w:multiLevelType w:val="singleLevel"/>
    <w:tmpl w:val="F86D0A9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FBBF46FD"/>
    <w:multiLevelType w:val="singleLevel"/>
    <w:tmpl w:val="FBBF46FD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6">
    <w:nsid w:val="FBF448BD"/>
    <w:multiLevelType w:val="singleLevel"/>
    <w:tmpl w:val="FBF448B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FDBE28AB"/>
    <w:multiLevelType w:val="singleLevel"/>
    <w:tmpl w:val="FDBE28AB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18">
    <w:nsid w:val="FDD97CA9"/>
    <w:multiLevelType w:val="singleLevel"/>
    <w:tmpl w:val="FDD97CA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FEFD540B"/>
    <w:multiLevelType w:val="singleLevel"/>
    <w:tmpl w:val="FEFD540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FF4EC7AD"/>
    <w:multiLevelType w:val="singleLevel"/>
    <w:tmpl w:val="FF4EC7AD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21">
    <w:nsid w:val="FF632154"/>
    <w:multiLevelType w:val="singleLevel"/>
    <w:tmpl w:val="FF63215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">
    <w:nsid w:val="FFCAEFE4"/>
    <w:multiLevelType w:val="singleLevel"/>
    <w:tmpl w:val="FFCAEFE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">
    <w:nsid w:val="FFFEFE75"/>
    <w:multiLevelType w:val="singleLevel"/>
    <w:tmpl w:val="FFFEFE7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4">
    <w:nsid w:val="37FE27DB"/>
    <w:multiLevelType w:val="singleLevel"/>
    <w:tmpl w:val="37FE27D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69FD02F1"/>
    <w:multiLevelType w:val="singleLevel"/>
    <w:tmpl w:val="69FD02F1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6">
    <w:nsid w:val="6DFBCD8D"/>
    <w:multiLevelType w:val="singleLevel"/>
    <w:tmpl w:val="6DFBCD8D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27">
    <w:nsid w:val="6FD0EE15"/>
    <w:multiLevelType w:val="singleLevel"/>
    <w:tmpl w:val="6FD0EE1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733ABF0F"/>
    <w:multiLevelType w:val="singleLevel"/>
    <w:tmpl w:val="733ABF0F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9">
    <w:nsid w:val="7D8F8EC8"/>
    <w:multiLevelType w:val="singleLevel"/>
    <w:tmpl w:val="7D8F8EC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0">
    <w:nsid w:val="7FBAD83C"/>
    <w:multiLevelType w:val="singleLevel"/>
    <w:tmpl w:val="7FBAD83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>
    <w:nsid w:val="7FBE4A5F"/>
    <w:multiLevelType w:val="singleLevel"/>
    <w:tmpl w:val="7FBE4A5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">
    <w:nsid w:val="7FFEB350"/>
    <w:multiLevelType w:val="singleLevel"/>
    <w:tmpl w:val="7FFEB350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32"/>
  </w:num>
  <w:num w:numId="3">
    <w:abstractNumId w:val="22"/>
  </w:num>
  <w:num w:numId="4">
    <w:abstractNumId w:val="3"/>
  </w:num>
  <w:num w:numId="5">
    <w:abstractNumId w:val="20"/>
  </w:num>
  <w:num w:numId="6">
    <w:abstractNumId w:val="5"/>
  </w:num>
  <w:num w:numId="7">
    <w:abstractNumId w:val="15"/>
  </w:num>
  <w:num w:numId="8">
    <w:abstractNumId w:val="8"/>
  </w:num>
  <w:num w:numId="9">
    <w:abstractNumId w:val="11"/>
  </w:num>
  <w:num w:numId="10">
    <w:abstractNumId w:val="4"/>
  </w:num>
  <w:num w:numId="11">
    <w:abstractNumId w:val="29"/>
  </w:num>
  <w:num w:numId="12">
    <w:abstractNumId w:val="25"/>
  </w:num>
  <w:num w:numId="13">
    <w:abstractNumId w:val="14"/>
  </w:num>
  <w:num w:numId="14">
    <w:abstractNumId w:val="13"/>
  </w:num>
  <w:num w:numId="15">
    <w:abstractNumId w:val="0"/>
  </w:num>
  <w:num w:numId="16">
    <w:abstractNumId w:val="12"/>
  </w:num>
  <w:num w:numId="17">
    <w:abstractNumId w:val="18"/>
  </w:num>
  <w:num w:numId="18">
    <w:abstractNumId w:val="16"/>
  </w:num>
  <w:num w:numId="19">
    <w:abstractNumId w:val="2"/>
  </w:num>
  <w:num w:numId="20">
    <w:abstractNumId w:val="21"/>
  </w:num>
  <w:num w:numId="21">
    <w:abstractNumId w:val="7"/>
  </w:num>
  <w:num w:numId="22">
    <w:abstractNumId w:val="24"/>
  </w:num>
  <w:num w:numId="23">
    <w:abstractNumId w:val="10"/>
  </w:num>
  <w:num w:numId="24">
    <w:abstractNumId w:val="31"/>
  </w:num>
  <w:num w:numId="25">
    <w:abstractNumId w:val="23"/>
  </w:num>
  <w:num w:numId="26">
    <w:abstractNumId w:val="28"/>
  </w:num>
  <w:num w:numId="27">
    <w:abstractNumId w:val="27"/>
  </w:num>
  <w:num w:numId="28">
    <w:abstractNumId w:val="19"/>
  </w:num>
  <w:num w:numId="29">
    <w:abstractNumId w:val="17"/>
  </w:num>
  <w:num w:numId="30">
    <w:abstractNumId w:val="30"/>
  </w:num>
  <w:num w:numId="31">
    <w:abstractNumId w:val="26"/>
  </w:num>
  <w:num w:numId="32">
    <w:abstractNumId w:val="9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52D"/>
    <w:rsid w:val="00687A66"/>
    <w:rsid w:val="006D685C"/>
    <w:rsid w:val="00C14E5F"/>
    <w:rsid w:val="00CD752D"/>
    <w:rsid w:val="00FF5A48"/>
    <w:rsid w:val="FCFF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link w:val="19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link w:val="20"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link w:val="21"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link w:val="22"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semiHidden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link w:val="2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Code"/>
    <w:basedOn w:val="1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标题 1 字符"/>
    <w:basedOn w:val="16"/>
    <w:link w:val="2"/>
    <w:uiPriority w:val="9"/>
    <w:rPr>
      <w:rFonts w:ascii="宋体" w:hAnsi="宋体" w:eastAsia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16"/>
    <w:link w:val="3"/>
    <w:uiPriority w:val="9"/>
    <w:rPr>
      <w:rFonts w:ascii="宋体" w:hAnsi="宋体" w:eastAsia="宋体" w:cs="宋体"/>
      <w:b/>
      <w:bCs/>
      <w:kern w:val="0"/>
      <w:sz w:val="36"/>
      <w:szCs w:val="36"/>
      <w14:ligatures w14:val="none"/>
    </w:rPr>
  </w:style>
  <w:style w:type="character" w:customStyle="1" w:styleId="21">
    <w:name w:val="标题 3 字符"/>
    <w:basedOn w:val="16"/>
    <w:link w:val="4"/>
    <w:uiPriority w:val="9"/>
    <w:rPr>
      <w:rFonts w:ascii="宋体" w:hAnsi="宋体" w:eastAsia="宋体" w:cs="宋体"/>
      <w:b/>
      <w:bCs/>
      <w:kern w:val="0"/>
      <w:sz w:val="27"/>
      <w:szCs w:val="27"/>
      <w14:ligatures w14:val="none"/>
    </w:rPr>
  </w:style>
  <w:style w:type="character" w:customStyle="1" w:styleId="22">
    <w:name w:val="标题 4 字符"/>
    <w:basedOn w:val="16"/>
    <w:link w:val="5"/>
    <w:uiPriority w:val="9"/>
    <w:rPr>
      <w:rFonts w:ascii="宋体" w:hAnsi="宋体" w:eastAsia="宋体" w:cs="宋体"/>
      <w:b/>
      <w:bCs/>
      <w:kern w:val="0"/>
      <w:sz w:val="24"/>
      <w14:ligatures w14:val="none"/>
    </w:rPr>
  </w:style>
  <w:style w:type="character" w:customStyle="1" w:styleId="23">
    <w:name w:val="HTML 预设格式 字符"/>
    <w:basedOn w:val="16"/>
    <w:link w:val="13"/>
    <w:semiHidden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24">
    <w:name w:val="apple-converted-space"/>
    <w:basedOn w:val="16"/>
    <w:uiPriority w:val="0"/>
  </w:style>
  <w:style w:type="paragraph" w:customStyle="1" w:styleId="25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760</Words>
  <Characters>4337</Characters>
  <Lines>36</Lines>
  <Paragraphs>10</Paragraphs>
  <TotalTime>0</TotalTime>
  <ScaleCrop>false</ScaleCrop>
  <LinksUpToDate>false</LinksUpToDate>
  <CharactersWithSpaces>5087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2026-04-17T19:20:00Z</dcterms:created>
  <dc:creator>Yu Eli</dc:creator>
  <cp:lastModifiedBy>张宇(2023213746)</cp:lastModifiedBy>
  <dcterms:modified xsi:type="dcterms:W3CDTF">2026-04-18T15:23:23Z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8FFC54F52959C64A6B31E369DAAF9713_42</vt:lpwstr>
  </property>
</Properties>
</file>